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60ADE" w14:textId="77777777" w:rsidR="009A0F55" w:rsidRDefault="009F7119">
      <w:pPr>
        <w:pStyle w:val="Answer"/>
        <w:jc w:val="center"/>
        <w:rPr>
          <w:rFonts w:eastAsia="Calibri"/>
          <w:b/>
          <w:bCs/>
        </w:rPr>
      </w:pPr>
      <w:r>
        <w:rPr>
          <w:rFonts w:eastAsia="Calibri"/>
          <w:b/>
          <w:bCs/>
        </w:rPr>
        <w:t>DOCKET NO</w:t>
      </w:r>
      <w:proofErr w:type="gramStart"/>
      <w:r>
        <w:rPr>
          <w:rFonts w:eastAsia="Calibri"/>
          <w:b/>
          <w:bCs/>
        </w:rPr>
        <w:t xml:space="preserve">. </w:t>
      </w:r>
      <w:proofErr w:type="gramEnd"/>
      <w:r>
        <w:rPr>
          <w:rFonts w:eastAsia="Calibri"/>
          <w:b/>
          <w:bCs/>
        </w:rPr>
        <w:t>52487</w:t>
      </w:r>
    </w:p>
    <w:p w14:paraId="18D60ADF" w14:textId="77777777" w:rsidR="009A0F55" w:rsidRDefault="009A0F55">
      <w:pPr>
        <w:jc w:val="center"/>
        <w:rPr>
          <w:rFonts w:eastAsia="Calibri"/>
          <w:b/>
        </w:rPr>
      </w:pPr>
    </w:p>
    <w:tbl>
      <w:tblPr>
        <w:tblW w:w="9576" w:type="dxa"/>
        <w:tblLook w:val="00A0" w:firstRow="1" w:lastRow="0" w:firstColumn="1" w:lastColumn="0" w:noHBand="0" w:noVBand="0"/>
      </w:tblPr>
      <w:tblGrid>
        <w:gridCol w:w="4698"/>
        <w:gridCol w:w="450"/>
        <w:gridCol w:w="4428"/>
      </w:tblGrid>
      <w:tr w:rsidR="009A0F55" w14:paraId="18D60AEA" w14:textId="77777777">
        <w:trPr>
          <w:trHeight w:val="1773"/>
        </w:trPr>
        <w:tc>
          <w:tcPr>
            <w:tcW w:w="4698" w:type="dxa"/>
          </w:tcPr>
          <w:p w14:paraId="18D60AE0" w14:textId="77777777" w:rsidR="009A0F55" w:rsidRDefault="009F7119">
            <w:pPr>
              <w:rPr>
                <w:rFonts w:eastAsia="Calibri"/>
                <w:b/>
              </w:rPr>
            </w:pPr>
            <w:r>
              <w:rPr>
                <w:rFonts w:eastAsia="Calibri"/>
                <w:b/>
              </w:rPr>
              <w:t>APPLICATION OF ENTERGY TEXAS, INC. TO AMEND ITS CERTIFICATE OF CONVENIENCE AND NECESSITY TO CONSTRUCT ORANGE COUNTY ADVANCED POWER STATION</w:t>
            </w:r>
          </w:p>
        </w:tc>
        <w:tc>
          <w:tcPr>
            <w:tcW w:w="450" w:type="dxa"/>
          </w:tcPr>
          <w:p w14:paraId="18D60AE1" w14:textId="77777777" w:rsidR="009A0F55" w:rsidRDefault="009F7119">
            <w:pPr>
              <w:jc w:val="center"/>
              <w:rPr>
                <w:b/>
                <w:bCs/>
              </w:rPr>
            </w:pPr>
            <w:r>
              <w:rPr>
                <w:b/>
                <w:bCs/>
              </w:rPr>
              <w:t>§</w:t>
            </w:r>
          </w:p>
          <w:p w14:paraId="18D60AE2" w14:textId="77777777" w:rsidR="009A0F55" w:rsidRDefault="009F7119">
            <w:pPr>
              <w:jc w:val="center"/>
              <w:rPr>
                <w:b/>
                <w:bCs/>
              </w:rPr>
            </w:pPr>
            <w:r>
              <w:rPr>
                <w:b/>
                <w:bCs/>
              </w:rPr>
              <w:t>§</w:t>
            </w:r>
          </w:p>
          <w:p w14:paraId="18D60AE3" w14:textId="77777777" w:rsidR="009A0F55" w:rsidRDefault="009F7119">
            <w:pPr>
              <w:jc w:val="center"/>
              <w:rPr>
                <w:b/>
                <w:bCs/>
              </w:rPr>
            </w:pPr>
            <w:r>
              <w:rPr>
                <w:b/>
                <w:bCs/>
              </w:rPr>
              <w:t>§</w:t>
            </w:r>
          </w:p>
          <w:p w14:paraId="18D60AE4" w14:textId="77777777" w:rsidR="009A0F55" w:rsidRDefault="009F7119">
            <w:pPr>
              <w:jc w:val="center"/>
              <w:rPr>
                <w:b/>
                <w:bCs/>
              </w:rPr>
            </w:pPr>
            <w:r>
              <w:rPr>
                <w:b/>
                <w:bCs/>
              </w:rPr>
              <w:t>§</w:t>
            </w:r>
          </w:p>
          <w:p w14:paraId="18D60AE5" w14:textId="77777777" w:rsidR="009A0F55" w:rsidRDefault="009F7119">
            <w:pPr>
              <w:rPr>
                <w:rFonts w:eastAsia="Calibri"/>
                <w:b/>
              </w:rPr>
            </w:pPr>
            <w:r>
              <w:rPr>
                <w:b/>
                <w:bCs/>
              </w:rPr>
              <w:t xml:space="preserve"> §</w:t>
            </w:r>
          </w:p>
        </w:tc>
        <w:tc>
          <w:tcPr>
            <w:tcW w:w="4428" w:type="dxa"/>
          </w:tcPr>
          <w:p w14:paraId="18D60AE6" w14:textId="77777777" w:rsidR="009A0F55" w:rsidRDefault="009A0F55">
            <w:pPr>
              <w:jc w:val="center"/>
              <w:rPr>
                <w:rFonts w:eastAsia="Calibri"/>
                <w:b/>
                <w:bCs/>
              </w:rPr>
            </w:pPr>
          </w:p>
          <w:p w14:paraId="18D60AE7" w14:textId="77777777" w:rsidR="009A0F55" w:rsidRDefault="009F7119">
            <w:pPr>
              <w:jc w:val="center"/>
              <w:rPr>
                <w:rFonts w:eastAsia="Calibri"/>
                <w:b/>
                <w:bCs/>
              </w:rPr>
            </w:pPr>
            <w:r>
              <w:rPr>
                <w:rFonts w:eastAsia="Calibri"/>
                <w:b/>
                <w:bCs/>
              </w:rPr>
              <w:t>PUBLIC UTILITY COMMISSION</w:t>
            </w:r>
          </w:p>
          <w:p w14:paraId="18D60AE8" w14:textId="77777777" w:rsidR="009A0F55" w:rsidRDefault="009A0F55">
            <w:pPr>
              <w:jc w:val="center"/>
              <w:rPr>
                <w:rFonts w:eastAsia="Calibri"/>
                <w:b/>
                <w:bCs/>
              </w:rPr>
            </w:pPr>
          </w:p>
          <w:p w14:paraId="18D60AE9" w14:textId="77777777" w:rsidR="009A0F55" w:rsidRDefault="009F7119">
            <w:pPr>
              <w:jc w:val="center"/>
              <w:rPr>
                <w:rFonts w:eastAsia="Calibri"/>
                <w:b/>
              </w:rPr>
            </w:pPr>
            <w:r>
              <w:rPr>
                <w:rFonts w:eastAsia="Calibri"/>
                <w:b/>
                <w:bCs/>
              </w:rPr>
              <w:t>OF TEXAS</w:t>
            </w:r>
          </w:p>
        </w:tc>
      </w:tr>
    </w:tbl>
    <w:p w14:paraId="18D60AEB" w14:textId="77777777" w:rsidR="009A0F55" w:rsidRDefault="009A0F55">
      <w:pPr>
        <w:tabs>
          <w:tab w:val="left" w:pos="6140"/>
        </w:tabs>
        <w:spacing w:line="480" w:lineRule="auto"/>
        <w:jc w:val="center"/>
        <w:rPr>
          <w:b/>
        </w:rPr>
      </w:pPr>
    </w:p>
    <w:p w14:paraId="18D60AEC" w14:textId="77777777" w:rsidR="009A0F55" w:rsidRDefault="009A0F55">
      <w:pPr>
        <w:tabs>
          <w:tab w:val="center" w:pos="4860"/>
        </w:tabs>
        <w:spacing w:line="480" w:lineRule="auto"/>
        <w:jc w:val="center"/>
        <w:rPr>
          <w:b/>
        </w:rPr>
      </w:pPr>
    </w:p>
    <w:p w14:paraId="18D60AED" w14:textId="77777777" w:rsidR="009A0F55" w:rsidRDefault="009A0F55">
      <w:pPr>
        <w:tabs>
          <w:tab w:val="center" w:pos="4860"/>
        </w:tabs>
        <w:spacing w:line="480" w:lineRule="auto"/>
        <w:jc w:val="center"/>
        <w:rPr>
          <w:b/>
        </w:rPr>
      </w:pPr>
    </w:p>
    <w:p w14:paraId="18D60AEE" w14:textId="77777777" w:rsidR="009A0F55" w:rsidRDefault="009F7119">
      <w:pPr>
        <w:spacing w:line="480" w:lineRule="auto"/>
        <w:jc w:val="center"/>
        <w:rPr>
          <w:b/>
        </w:rPr>
      </w:pPr>
      <w:r>
        <w:rPr>
          <w:b/>
        </w:rPr>
        <w:t>DIRECT TESTIMONY</w:t>
      </w:r>
    </w:p>
    <w:p w14:paraId="18D60AEF" w14:textId="77777777" w:rsidR="009A0F55" w:rsidRDefault="009F7119">
      <w:pPr>
        <w:spacing w:line="480" w:lineRule="auto"/>
        <w:jc w:val="center"/>
        <w:rPr>
          <w:b/>
        </w:rPr>
      </w:pPr>
      <w:r>
        <w:rPr>
          <w:b/>
        </w:rPr>
        <w:t>OF</w:t>
      </w:r>
    </w:p>
    <w:p w14:paraId="18D60AF0" w14:textId="77777777" w:rsidR="009A0F55" w:rsidRDefault="009F7119">
      <w:pPr>
        <w:spacing w:line="480" w:lineRule="auto"/>
        <w:jc w:val="center"/>
        <w:rPr>
          <w:b/>
        </w:rPr>
      </w:pPr>
      <w:r>
        <w:rPr>
          <w:b/>
        </w:rPr>
        <w:t>SALLIE T. RAINER</w:t>
      </w:r>
    </w:p>
    <w:p w14:paraId="18D60AF1" w14:textId="77777777" w:rsidR="009A0F55" w:rsidRDefault="009A0F55">
      <w:pPr>
        <w:spacing w:line="480" w:lineRule="auto"/>
        <w:jc w:val="center"/>
        <w:rPr>
          <w:b/>
        </w:rPr>
      </w:pPr>
    </w:p>
    <w:p w14:paraId="18D60AF2" w14:textId="77777777" w:rsidR="009A0F55" w:rsidRDefault="009F7119">
      <w:pPr>
        <w:spacing w:line="480" w:lineRule="auto"/>
        <w:jc w:val="center"/>
        <w:rPr>
          <w:b/>
        </w:rPr>
      </w:pPr>
      <w:r>
        <w:rPr>
          <w:b/>
        </w:rPr>
        <w:t>ON BEHALF OF</w:t>
      </w:r>
    </w:p>
    <w:p w14:paraId="18D60AF3" w14:textId="77777777" w:rsidR="009A0F55" w:rsidRDefault="009F7119">
      <w:pPr>
        <w:spacing w:line="480" w:lineRule="auto"/>
        <w:jc w:val="center"/>
        <w:rPr>
          <w:b/>
        </w:rPr>
      </w:pPr>
      <w:r>
        <w:rPr>
          <w:b/>
        </w:rPr>
        <w:t>ENTERGY TEXAS, INC.</w:t>
      </w:r>
    </w:p>
    <w:p w14:paraId="18D60AF4" w14:textId="77777777" w:rsidR="009A0F55" w:rsidRDefault="009A0F55">
      <w:pPr>
        <w:spacing w:line="480" w:lineRule="auto"/>
        <w:jc w:val="center"/>
        <w:rPr>
          <w:b/>
        </w:rPr>
      </w:pPr>
    </w:p>
    <w:p w14:paraId="18D60AF5" w14:textId="77777777" w:rsidR="009A0F55" w:rsidRDefault="009A0F55">
      <w:pPr>
        <w:spacing w:line="480" w:lineRule="auto"/>
        <w:jc w:val="center"/>
        <w:rPr>
          <w:b/>
        </w:rPr>
      </w:pPr>
    </w:p>
    <w:p w14:paraId="18D60AF6" w14:textId="77777777" w:rsidR="009A0F55" w:rsidRDefault="009A0F55">
      <w:pPr>
        <w:spacing w:line="480" w:lineRule="auto"/>
        <w:jc w:val="center"/>
        <w:rPr>
          <w:b/>
        </w:rPr>
      </w:pPr>
    </w:p>
    <w:p w14:paraId="18D60AF7" w14:textId="77777777" w:rsidR="009A0F55" w:rsidRDefault="009A0F55">
      <w:pPr>
        <w:spacing w:line="480" w:lineRule="auto"/>
        <w:jc w:val="center"/>
        <w:rPr>
          <w:b/>
        </w:rPr>
      </w:pPr>
    </w:p>
    <w:p w14:paraId="18D60AF8" w14:textId="77777777" w:rsidR="009A0F55" w:rsidRDefault="009A0F55">
      <w:pPr>
        <w:spacing w:line="480" w:lineRule="auto"/>
        <w:jc w:val="center"/>
        <w:rPr>
          <w:b/>
        </w:rPr>
      </w:pPr>
    </w:p>
    <w:p w14:paraId="18D60AF9" w14:textId="77777777" w:rsidR="009A0F55" w:rsidRDefault="009A0F55">
      <w:pPr>
        <w:spacing w:line="480" w:lineRule="auto"/>
        <w:jc w:val="center"/>
        <w:rPr>
          <w:b/>
        </w:rPr>
      </w:pPr>
    </w:p>
    <w:p w14:paraId="18D60AFA" w14:textId="77777777" w:rsidR="009A0F55" w:rsidRDefault="009A0F55">
      <w:pPr>
        <w:spacing w:line="480" w:lineRule="auto"/>
        <w:jc w:val="center"/>
        <w:rPr>
          <w:b/>
        </w:rPr>
      </w:pPr>
    </w:p>
    <w:p w14:paraId="18D60AFB" w14:textId="77777777" w:rsidR="009A0F55" w:rsidRDefault="009F7119">
      <w:pPr>
        <w:jc w:val="center"/>
        <w:rPr>
          <w:b/>
        </w:rPr>
        <w:sectPr w:rsidR="009A0F55">
          <w:headerReference w:type="even" r:id="rId8"/>
          <w:headerReference w:type="default" r:id="rId9"/>
          <w:footerReference w:type="even" r:id="rId10"/>
          <w:footerReference w:type="default" r:id="rId11"/>
          <w:headerReference w:type="first" r:id="rId12"/>
          <w:footerReference w:type="first" r:id="rId13"/>
          <w:pgSz w:w="12240" w:h="15840" w:code="1"/>
          <w:pgMar w:top="1440" w:right="1440" w:bottom="1440" w:left="1440" w:header="720" w:footer="720" w:gutter="0"/>
          <w:cols w:space="720"/>
          <w:docGrid w:linePitch="360"/>
        </w:sectPr>
      </w:pPr>
      <w:r>
        <w:rPr>
          <w:rFonts w:ascii="Times New Roman Bold" w:hAnsi="Times New Roman Bold"/>
          <w:b/>
          <w:caps/>
        </w:rPr>
        <w:t xml:space="preserve">September </w:t>
      </w:r>
      <w:r>
        <w:rPr>
          <w:b/>
        </w:rPr>
        <w:t>2021</w:t>
      </w:r>
    </w:p>
    <w:p w14:paraId="18D60AFC" w14:textId="77777777" w:rsidR="009A0F55" w:rsidRDefault="009F7119">
      <w:pPr>
        <w:jc w:val="center"/>
        <w:rPr>
          <w:b/>
        </w:rPr>
      </w:pPr>
      <w:r>
        <w:rPr>
          <w:b/>
        </w:rPr>
        <w:lastRenderedPageBreak/>
        <w:t>ENTERGY TEXAS, INC.</w:t>
      </w:r>
    </w:p>
    <w:p w14:paraId="18D60AFD" w14:textId="77777777" w:rsidR="009A0F55" w:rsidRDefault="009F7119">
      <w:pPr>
        <w:jc w:val="center"/>
        <w:rPr>
          <w:b/>
        </w:rPr>
      </w:pPr>
      <w:r>
        <w:rPr>
          <w:b/>
        </w:rPr>
        <w:t>DIRECT TESTIMONY OF SALLIE T. RAINER</w:t>
      </w:r>
    </w:p>
    <w:p w14:paraId="18D60AFE" w14:textId="77777777" w:rsidR="009A0F55" w:rsidRDefault="009F7119">
      <w:pPr>
        <w:jc w:val="center"/>
        <w:rPr>
          <w:b/>
          <w:u w:val="single"/>
        </w:rPr>
      </w:pPr>
      <w:r>
        <w:rPr>
          <w:b/>
        </w:rPr>
        <w:t>DOCKET NO</w:t>
      </w:r>
      <w:proofErr w:type="gramStart"/>
      <w:r>
        <w:rPr>
          <w:b/>
        </w:rPr>
        <w:t xml:space="preserve">. </w:t>
      </w:r>
      <w:proofErr w:type="gramEnd"/>
      <w:r>
        <w:rPr>
          <w:b/>
        </w:rPr>
        <w:t>52487</w:t>
      </w:r>
    </w:p>
    <w:p w14:paraId="18D60AFF" w14:textId="77777777" w:rsidR="009A0F55" w:rsidRDefault="009A0F55">
      <w:pPr>
        <w:jc w:val="center"/>
        <w:rPr>
          <w:b/>
          <w:u w:val="single"/>
        </w:rPr>
      </w:pPr>
    </w:p>
    <w:p w14:paraId="18D60B00" w14:textId="77777777" w:rsidR="009A0F55" w:rsidRDefault="009A0F55">
      <w:pPr>
        <w:jc w:val="center"/>
        <w:rPr>
          <w:b/>
          <w:u w:val="single"/>
        </w:rPr>
      </w:pPr>
    </w:p>
    <w:p w14:paraId="18D60B01" w14:textId="77777777" w:rsidR="009A0F55" w:rsidRDefault="009A0F55">
      <w:pPr>
        <w:jc w:val="center"/>
        <w:rPr>
          <w:b/>
          <w:u w:val="single"/>
        </w:rPr>
      </w:pPr>
    </w:p>
    <w:p w14:paraId="18D60B02" w14:textId="77777777" w:rsidR="009A0F55" w:rsidRDefault="009A0F55">
      <w:pPr>
        <w:jc w:val="center"/>
        <w:rPr>
          <w:b/>
          <w:u w:val="single"/>
        </w:rPr>
      </w:pPr>
    </w:p>
    <w:p w14:paraId="18D60B03" w14:textId="77777777" w:rsidR="009A0F55" w:rsidRDefault="009F7119">
      <w:pPr>
        <w:jc w:val="center"/>
        <w:rPr>
          <w:b/>
          <w:u w:val="single"/>
        </w:rPr>
      </w:pPr>
      <w:r>
        <w:rPr>
          <w:b/>
          <w:u w:val="single"/>
        </w:rPr>
        <w:t>TABLE OF CONTENTS</w:t>
      </w:r>
    </w:p>
    <w:p w14:paraId="18D60B04" w14:textId="77777777" w:rsidR="009A0F55" w:rsidRDefault="009A0F55">
      <w:pPr>
        <w:jc w:val="center"/>
      </w:pPr>
    </w:p>
    <w:p w14:paraId="18D60B05" w14:textId="77777777" w:rsidR="009A0F55" w:rsidRDefault="009F7119">
      <w:pPr>
        <w:jc w:val="right"/>
        <w:rPr>
          <w:u w:val="single"/>
        </w:rPr>
      </w:pPr>
      <w:r>
        <w:rPr>
          <w:u w:val="single"/>
        </w:rPr>
        <w:t>Page</w:t>
      </w:r>
    </w:p>
    <w:p w14:paraId="18D60B06" w14:textId="77777777" w:rsidR="009A0F55" w:rsidRDefault="009A0F55">
      <w:pPr>
        <w:jc w:val="right"/>
      </w:pPr>
    </w:p>
    <w:p w14:paraId="2883E5FE" w14:textId="6B546C83" w:rsidR="00415F66" w:rsidRDefault="00CC6990">
      <w:pPr>
        <w:pStyle w:val="TOC1"/>
        <w:rPr>
          <w:rFonts w:asciiTheme="minorHAnsi" w:eastAsiaTheme="minorEastAsia" w:hAnsiTheme="minorHAnsi" w:cstheme="minorBidi"/>
          <w:noProof/>
          <w:sz w:val="22"/>
          <w:szCs w:val="22"/>
        </w:rPr>
      </w:pPr>
      <w:r>
        <w:fldChar w:fldCharType="begin"/>
      </w:r>
      <w:r>
        <w:instrText xml:space="preserve"> TOC \t "Heading 1,1,Heading 2,2" </w:instrText>
      </w:r>
      <w:r>
        <w:fldChar w:fldCharType="separate"/>
      </w:r>
      <w:r w:rsidR="00415F66" w:rsidRPr="008951A8">
        <w:rPr>
          <w:noProof/>
          <w:color w:val="000000"/>
        </w:rPr>
        <w:t>I.</w:t>
      </w:r>
      <w:r w:rsidR="00415F66">
        <w:rPr>
          <w:rFonts w:asciiTheme="minorHAnsi" w:eastAsiaTheme="minorEastAsia" w:hAnsiTheme="minorHAnsi" w:cstheme="minorBidi"/>
          <w:noProof/>
          <w:sz w:val="22"/>
          <w:szCs w:val="22"/>
        </w:rPr>
        <w:tab/>
      </w:r>
      <w:r w:rsidR="00415F66">
        <w:rPr>
          <w:noProof/>
        </w:rPr>
        <w:t>Introduction and Purpose of Testimony</w:t>
      </w:r>
      <w:r w:rsidR="00415F66">
        <w:rPr>
          <w:noProof/>
        </w:rPr>
        <w:tab/>
      </w:r>
      <w:r w:rsidR="00415F66">
        <w:rPr>
          <w:noProof/>
        </w:rPr>
        <w:fldChar w:fldCharType="begin"/>
      </w:r>
      <w:r w:rsidR="00415F66">
        <w:rPr>
          <w:noProof/>
        </w:rPr>
        <w:instrText xml:space="preserve"> PAGEREF _Toc82442932 \h </w:instrText>
      </w:r>
      <w:r w:rsidR="00415F66">
        <w:rPr>
          <w:noProof/>
        </w:rPr>
      </w:r>
      <w:r w:rsidR="00415F66">
        <w:rPr>
          <w:noProof/>
        </w:rPr>
        <w:fldChar w:fldCharType="separate"/>
      </w:r>
      <w:r w:rsidR="00415F66">
        <w:rPr>
          <w:noProof/>
        </w:rPr>
        <w:t>1</w:t>
      </w:r>
      <w:r w:rsidR="00415F66">
        <w:rPr>
          <w:noProof/>
        </w:rPr>
        <w:fldChar w:fldCharType="end"/>
      </w:r>
    </w:p>
    <w:p w14:paraId="671B0ADA" w14:textId="772D91BD" w:rsidR="00415F66" w:rsidRDefault="00415F66">
      <w:pPr>
        <w:pStyle w:val="TOC1"/>
        <w:rPr>
          <w:rFonts w:asciiTheme="minorHAnsi" w:eastAsiaTheme="minorEastAsia" w:hAnsiTheme="minorHAnsi" w:cstheme="minorBidi"/>
          <w:noProof/>
          <w:sz w:val="22"/>
          <w:szCs w:val="22"/>
        </w:rPr>
      </w:pPr>
      <w:r w:rsidRPr="008951A8">
        <w:rPr>
          <w:noProof/>
          <w:color w:val="000000"/>
        </w:rPr>
        <w:t>II.</w:t>
      </w:r>
      <w:r>
        <w:rPr>
          <w:rFonts w:asciiTheme="minorHAnsi" w:eastAsiaTheme="minorEastAsia" w:hAnsiTheme="minorHAnsi" w:cstheme="minorBidi"/>
          <w:noProof/>
          <w:sz w:val="22"/>
          <w:szCs w:val="22"/>
        </w:rPr>
        <w:tab/>
      </w:r>
      <w:r>
        <w:rPr>
          <w:noProof/>
        </w:rPr>
        <w:t>Overview of the Project and Application</w:t>
      </w:r>
      <w:r>
        <w:rPr>
          <w:noProof/>
        </w:rPr>
        <w:tab/>
      </w:r>
      <w:r>
        <w:rPr>
          <w:noProof/>
        </w:rPr>
        <w:fldChar w:fldCharType="begin"/>
      </w:r>
      <w:r>
        <w:rPr>
          <w:noProof/>
        </w:rPr>
        <w:instrText xml:space="preserve"> PAGEREF _Toc82442933 \h </w:instrText>
      </w:r>
      <w:r>
        <w:rPr>
          <w:noProof/>
        </w:rPr>
      </w:r>
      <w:r>
        <w:rPr>
          <w:noProof/>
        </w:rPr>
        <w:fldChar w:fldCharType="separate"/>
      </w:r>
      <w:r>
        <w:rPr>
          <w:noProof/>
        </w:rPr>
        <w:t>4</w:t>
      </w:r>
      <w:r>
        <w:rPr>
          <w:noProof/>
        </w:rPr>
        <w:fldChar w:fldCharType="end"/>
      </w:r>
    </w:p>
    <w:p w14:paraId="137C3546" w14:textId="010B34CB" w:rsidR="00415F66" w:rsidRDefault="00415F66">
      <w:pPr>
        <w:pStyle w:val="TOC1"/>
        <w:rPr>
          <w:rFonts w:asciiTheme="minorHAnsi" w:eastAsiaTheme="minorEastAsia" w:hAnsiTheme="minorHAnsi" w:cstheme="minorBidi"/>
          <w:noProof/>
          <w:sz w:val="22"/>
          <w:szCs w:val="22"/>
        </w:rPr>
      </w:pPr>
      <w:r w:rsidRPr="008951A8">
        <w:rPr>
          <w:noProof/>
          <w:color w:val="000000"/>
        </w:rPr>
        <w:t>III.</w:t>
      </w:r>
      <w:r>
        <w:rPr>
          <w:rFonts w:asciiTheme="minorHAnsi" w:eastAsiaTheme="minorEastAsia" w:hAnsiTheme="minorHAnsi" w:cstheme="minorBidi"/>
          <w:noProof/>
          <w:sz w:val="22"/>
          <w:szCs w:val="22"/>
        </w:rPr>
        <w:tab/>
      </w:r>
      <w:r>
        <w:rPr>
          <w:noProof/>
        </w:rPr>
        <w:t>Selection of OCAPS from the 2020 ETI RFP</w:t>
      </w:r>
      <w:r>
        <w:rPr>
          <w:noProof/>
        </w:rPr>
        <w:tab/>
      </w:r>
      <w:r>
        <w:rPr>
          <w:noProof/>
        </w:rPr>
        <w:fldChar w:fldCharType="begin"/>
      </w:r>
      <w:r>
        <w:rPr>
          <w:noProof/>
        </w:rPr>
        <w:instrText xml:space="preserve"> PAGEREF _Toc82442934 \h </w:instrText>
      </w:r>
      <w:r>
        <w:rPr>
          <w:noProof/>
        </w:rPr>
      </w:r>
      <w:r>
        <w:rPr>
          <w:noProof/>
        </w:rPr>
        <w:fldChar w:fldCharType="separate"/>
      </w:r>
      <w:r>
        <w:rPr>
          <w:noProof/>
        </w:rPr>
        <w:t>16</w:t>
      </w:r>
      <w:r>
        <w:rPr>
          <w:noProof/>
        </w:rPr>
        <w:fldChar w:fldCharType="end"/>
      </w:r>
    </w:p>
    <w:p w14:paraId="1F147D5F" w14:textId="4216A410" w:rsidR="00415F66" w:rsidRDefault="00415F66">
      <w:pPr>
        <w:pStyle w:val="TOC1"/>
        <w:rPr>
          <w:rFonts w:asciiTheme="minorHAnsi" w:eastAsiaTheme="minorEastAsia" w:hAnsiTheme="minorHAnsi" w:cstheme="minorBidi"/>
          <w:noProof/>
          <w:sz w:val="22"/>
          <w:szCs w:val="22"/>
        </w:rPr>
      </w:pPr>
      <w:r w:rsidRPr="008951A8">
        <w:rPr>
          <w:noProof/>
          <w:color w:val="000000"/>
        </w:rPr>
        <w:t>IV.</w:t>
      </w:r>
      <w:r>
        <w:rPr>
          <w:rFonts w:asciiTheme="minorHAnsi" w:eastAsiaTheme="minorEastAsia" w:hAnsiTheme="minorHAnsi" w:cstheme="minorBidi"/>
          <w:noProof/>
          <w:sz w:val="22"/>
          <w:szCs w:val="22"/>
        </w:rPr>
        <w:tab/>
      </w:r>
      <w:r>
        <w:rPr>
          <w:noProof/>
        </w:rPr>
        <w:t>Benefits of the Project</w:t>
      </w:r>
      <w:r>
        <w:rPr>
          <w:noProof/>
        </w:rPr>
        <w:tab/>
      </w:r>
      <w:r>
        <w:rPr>
          <w:noProof/>
        </w:rPr>
        <w:fldChar w:fldCharType="begin"/>
      </w:r>
      <w:r>
        <w:rPr>
          <w:noProof/>
        </w:rPr>
        <w:instrText xml:space="preserve"> PAGEREF _Toc82442935 \h </w:instrText>
      </w:r>
      <w:r>
        <w:rPr>
          <w:noProof/>
        </w:rPr>
      </w:r>
      <w:r>
        <w:rPr>
          <w:noProof/>
        </w:rPr>
        <w:fldChar w:fldCharType="separate"/>
      </w:r>
      <w:r>
        <w:rPr>
          <w:noProof/>
        </w:rPr>
        <w:t>20</w:t>
      </w:r>
      <w:r>
        <w:rPr>
          <w:noProof/>
        </w:rPr>
        <w:fldChar w:fldCharType="end"/>
      </w:r>
    </w:p>
    <w:p w14:paraId="701A6F2A" w14:textId="2ABAA5AB" w:rsidR="00415F66" w:rsidRDefault="00415F66">
      <w:pPr>
        <w:pStyle w:val="TOC1"/>
        <w:rPr>
          <w:rFonts w:asciiTheme="minorHAnsi" w:eastAsiaTheme="minorEastAsia" w:hAnsiTheme="minorHAnsi" w:cstheme="minorBidi"/>
          <w:noProof/>
          <w:sz w:val="22"/>
          <w:szCs w:val="22"/>
        </w:rPr>
      </w:pPr>
      <w:r w:rsidRPr="008951A8">
        <w:rPr>
          <w:noProof/>
          <w:color w:val="000000"/>
        </w:rPr>
        <w:t>V.</w:t>
      </w:r>
      <w:r>
        <w:rPr>
          <w:rFonts w:asciiTheme="minorHAnsi" w:eastAsiaTheme="minorEastAsia" w:hAnsiTheme="minorHAnsi" w:cstheme="minorBidi"/>
          <w:noProof/>
          <w:sz w:val="22"/>
          <w:szCs w:val="22"/>
        </w:rPr>
        <w:tab/>
      </w:r>
      <w:r>
        <w:rPr>
          <w:noProof/>
        </w:rPr>
        <w:t>Summary and Conclusion</w:t>
      </w:r>
      <w:r>
        <w:rPr>
          <w:noProof/>
        </w:rPr>
        <w:tab/>
      </w:r>
      <w:r>
        <w:rPr>
          <w:noProof/>
        </w:rPr>
        <w:fldChar w:fldCharType="begin"/>
      </w:r>
      <w:r>
        <w:rPr>
          <w:noProof/>
        </w:rPr>
        <w:instrText xml:space="preserve"> PAGEREF _Toc82442936 \h </w:instrText>
      </w:r>
      <w:r>
        <w:rPr>
          <w:noProof/>
        </w:rPr>
      </w:r>
      <w:r>
        <w:rPr>
          <w:noProof/>
        </w:rPr>
        <w:fldChar w:fldCharType="separate"/>
      </w:r>
      <w:r>
        <w:rPr>
          <w:noProof/>
        </w:rPr>
        <w:t>24</w:t>
      </w:r>
      <w:r>
        <w:rPr>
          <w:noProof/>
        </w:rPr>
        <w:fldChar w:fldCharType="end"/>
      </w:r>
    </w:p>
    <w:p w14:paraId="18D60B0C" w14:textId="2601A782" w:rsidR="009A0F55" w:rsidRDefault="00CC6990">
      <w:pPr>
        <w:pStyle w:val="Answer"/>
      </w:pPr>
      <w:r>
        <w:fldChar w:fldCharType="end"/>
      </w:r>
    </w:p>
    <w:p w14:paraId="18D60B0D" w14:textId="77777777" w:rsidR="009A0F55" w:rsidRDefault="009F7119">
      <w:pPr>
        <w:spacing w:after="240"/>
        <w:jc w:val="center"/>
        <w:rPr>
          <w:b/>
          <w:u w:val="single"/>
        </w:rPr>
      </w:pPr>
      <w:r>
        <w:rPr>
          <w:b/>
          <w:u w:val="single"/>
        </w:rPr>
        <w:t>EXHIBITS</w:t>
      </w:r>
    </w:p>
    <w:p w14:paraId="18D60B0F" w14:textId="06766ADC" w:rsidR="009A0F55" w:rsidRDefault="009F7119" w:rsidP="0010398D">
      <w:pPr>
        <w:ind w:left="2160" w:hanging="2160"/>
      </w:pPr>
      <w:r>
        <w:t xml:space="preserve">Exhibit </w:t>
      </w:r>
      <w:proofErr w:type="spellStart"/>
      <w:r>
        <w:t>STR</w:t>
      </w:r>
      <w:proofErr w:type="spellEnd"/>
      <w:r>
        <w:t>-1</w:t>
      </w:r>
      <w:r>
        <w:tab/>
        <w:t>November 30, 2020</w:t>
      </w:r>
      <w:r w:rsidR="0010398D">
        <w:t xml:space="preserve">, Operating Committee Presentation Regarding 2020 </w:t>
      </w:r>
      <w:proofErr w:type="spellStart"/>
      <w:r w:rsidR="0010398D">
        <w:t>ETI</w:t>
      </w:r>
      <w:proofErr w:type="spellEnd"/>
      <w:r w:rsidR="0010398D">
        <w:t xml:space="preserve"> RFP Resource Selection </w:t>
      </w:r>
      <w:r>
        <w:rPr>
          <w:b/>
        </w:rPr>
        <w:t>(Highly Sensitive Protected Materials)</w:t>
      </w:r>
    </w:p>
    <w:p w14:paraId="18D60B10" w14:textId="77777777" w:rsidR="009A0F55" w:rsidRDefault="009A0F55">
      <w:pPr>
        <w:spacing w:after="240"/>
      </w:pPr>
    </w:p>
    <w:p w14:paraId="18D60B11" w14:textId="77777777" w:rsidR="009A0F55" w:rsidRDefault="009A0F55">
      <w:pPr>
        <w:spacing w:after="240"/>
      </w:pPr>
    </w:p>
    <w:p w14:paraId="18D60B12" w14:textId="77777777" w:rsidR="009A0F55" w:rsidRDefault="009A0F55">
      <w:pPr>
        <w:spacing w:after="240"/>
      </w:pPr>
    </w:p>
    <w:p w14:paraId="18D60B13" w14:textId="77777777" w:rsidR="009A0F55" w:rsidRDefault="009A0F55">
      <w:pPr>
        <w:pStyle w:val="Header"/>
        <w:tabs>
          <w:tab w:val="clear" w:pos="4320"/>
          <w:tab w:val="center" w:pos="4680"/>
        </w:tabs>
        <w:spacing w:line="480" w:lineRule="auto"/>
        <w:jc w:val="center"/>
      </w:pPr>
    </w:p>
    <w:p w14:paraId="18D60B14" w14:textId="77777777" w:rsidR="009A0F55" w:rsidRDefault="009A0F55">
      <w:pPr>
        <w:pStyle w:val="Header"/>
        <w:tabs>
          <w:tab w:val="clear" w:pos="4320"/>
          <w:tab w:val="center" w:pos="4680"/>
        </w:tabs>
        <w:spacing w:line="480" w:lineRule="auto"/>
        <w:jc w:val="center"/>
        <w:sectPr w:rsidR="009A0F55">
          <w:headerReference w:type="default" r:id="rId14"/>
          <w:footerReference w:type="default" r:id="rId15"/>
          <w:footerReference w:type="first" r:id="rId16"/>
          <w:pgSz w:w="12240" w:h="15840" w:code="1"/>
          <w:pgMar w:top="1440" w:right="1440" w:bottom="1440" w:left="1440" w:header="720" w:footer="720" w:gutter="0"/>
          <w:pgNumType w:fmt="lowerRoman" w:start="1"/>
          <w:cols w:space="720"/>
          <w:titlePg/>
          <w:docGrid w:linePitch="360"/>
        </w:sectPr>
      </w:pPr>
      <w:bookmarkStart w:id="0" w:name="_Toc171514637"/>
    </w:p>
    <w:p w14:paraId="18D60B15" w14:textId="77777777" w:rsidR="009A0F55" w:rsidRDefault="009F7119">
      <w:pPr>
        <w:pStyle w:val="Heading1"/>
      </w:pPr>
      <w:bookmarkStart w:id="1" w:name="_Toc245784094"/>
      <w:bookmarkStart w:id="2" w:name="_Toc82442932"/>
      <w:r>
        <w:lastRenderedPageBreak/>
        <w:t>Introduction and P</w:t>
      </w:r>
      <w:bookmarkEnd w:id="0"/>
      <w:bookmarkEnd w:id="1"/>
      <w:r>
        <w:t>urpose of Testimony</w:t>
      </w:r>
      <w:bookmarkEnd w:id="2"/>
    </w:p>
    <w:p w14:paraId="18D60B16" w14:textId="77777777" w:rsidR="009A0F55" w:rsidRDefault="009F7119">
      <w:pPr>
        <w:pStyle w:val="QUESTION"/>
        <w:tabs>
          <w:tab w:val="left" w:pos="5400"/>
        </w:tabs>
      </w:pPr>
      <w:r>
        <w:t>PLEASE STATE YOUR NAME, POSITION, AND BUSINESS ADDRESS.</w:t>
      </w:r>
    </w:p>
    <w:p w14:paraId="18D60B17" w14:textId="77777777" w:rsidR="009A0F55" w:rsidRDefault="009F7119">
      <w:pPr>
        <w:pStyle w:val="Answer"/>
      </w:pPr>
      <w:r>
        <w:t>A.</w:t>
      </w:r>
      <w:r>
        <w:tab/>
        <w:t>My name is Sallie T. Rainer.  I am President and Chief Executive Officer (“CEO”) of Entergy Texas, Inc. (“</w:t>
      </w:r>
      <w:proofErr w:type="spellStart"/>
      <w:r>
        <w:t>ETI</w:t>
      </w:r>
      <w:proofErr w:type="spellEnd"/>
      <w:r>
        <w:t xml:space="preserve">” or the “Company”).  My business address is Parkwood II Bldg., Suite 200, 10055 </w:t>
      </w:r>
      <w:proofErr w:type="spellStart"/>
      <w:r>
        <w:t>Grogans</w:t>
      </w:r>
      <w:proofErr w:type="spellEnd"/>
      <w:r>
        <w:t xml:space="preserve"> Mill Road, The Woodlands, </w:t>
      </w:r>
      <w:proofErr w:type="gramStart"/>
      <w:r>
        <w:t>Texas</w:t>
      </w:r>
      <w:proofErr w:type="gramEnd"/>
      <w:r>
        <w:t xml:space="preserve"> 77380.</w:t>
      </w:r>
    </w:p>
    <w:p w14:paraId="18D60B18" w14:textId="77777777" w:rsidR="009A0F55" w:rsidRDefault="009A0F55">
      <w:pPr>
        <w:pStyle w:val="Answer"/>
      </w:pPr>
    </w:p>
    <w:p w14:paraId="18D60B19" w14:textId="77777777" w:rsidR="009A0F55" w:rsidRDefault="009F7119">
      <w:pPr>
        <w:pStyle w:val="QUESTION"/>
      </w:pPr>
      <w:r>
        <w:t>on whose behalf are you testifying IN THIS PROCEEDING?</w:t>
      </w:r>
    </w:p>
    <w:p w14:paraId="18D60B1A" w14:textId="77777777" w:rsidR="009A0F55" w:rsidRDefault="009F7119">
      <w:pPr>
        <w:pStyle w:val="Answer"/>
        <w:numPr>
          <w:ilvl w:val="2"/>
          <w:numId w:val="1"/>
        </w:numPr>
      </w:pPr>
      <w:r>
        <w:t xml:space="preserve">I am submitting this Direct Testimony to the Public Utility Commission of Texas (“Commission”) on behalf of </w:t>
      </w:r>
      <w:proofErr w:type="spellStart"/>
      <w:r>
        <w:t>ETI</w:t>
      </w:r>
      <w:proofErr w:type="spellEnd"/>
      <w:r>
        <w:t xml:space="preserve">.  </w:t>
      </w:r>
      <w:proofErr w:type="spellStart"/>
      <w:r>
        <w:t>ETI</w:t>
      </w:r>
      <w:proofErr w:type="spellEnd"/>
      <w:r>
        <w:t xml:space="preserve"> is an integrated utility company that provides bundled generation, transmission, distribution, and customer services to approximately 473,000 retail customers in Southeast Texas.  </w:t>
      </w:r>
      <w:proofErr w:type="spellStart"/>
      <w:r>
        <w:t>ETI</w:t>
      </w:r>
      <w:proofErr w:type="spellEnd"/>
      <w:r>
        <w:t xml:space="preserve"> is a subsidiary of Entergy Corporation (“Entergy Corp.”), which also owns, among other subsidiaries, Entergy Louisiana, LLC; Entergy New Orleans, LLC; Entergy Arkansas, LLC; and Entergy Mississippi, LLC (collectively, along with </w:t>
      </w:r>
      <w:proofErr w:type="spellStart"/>
      <w:r>
        <w:t>ETI</w:t>
      </w:r>
      <w:proofErr w:type="spellEnd"/>
      <w:r>
        <w:t>, the “Entergy Operating Companies”).  In this testimony, I may use the term “Entergy” to refer individually and collectively to Entergy Corp. and its affiliates, including but not limited to Entergy Services, LLC (“ESL”)</w:t>
      </w:r>
      <w:r>
        <w:rPr>
          <w:rStyle w:val="FootnoteReference"/>
        </w:rPr>
        <w:footnoteReference w:id="2"/>
      </w:r>
      <w:r>
        <w:t xml:space="preserve"> and the Entergy Operating Companies.</w:t>
      </w:r>
    </w:p>
    <w:p w14:paraId="18D60B1B" w14:textId="77777777" w:rsidR="009A0F55" w:rsidRDefault="009A0F55" w:rsidP="003F322B">
      <w:pPr>
        <w:pStyle w:val="Answer"/>
        <w:suppressLineNumbers/>
        <w:ind w:left="0" w:firstLine="0"/>
      </w:pPr>
    </w:p>
    <w:p w14:paraId="18D60B1C" w14:textId="77777777" w:rsidR="009A0F55" w:rsidRDefault="009F7119">
      <w:pPr>
        <w:pStyle w:val="QUESTION"/>
      </w:pPr>
      <w:r>
        <w:lastRenderedPageBreak/>
        <w:t>what are your current duties?</w:t>
      </w:r>
    </w:p>
    <w:p w14:paraId="18D60B1D" w14:textId="77777777" w:rsidR="009A0F55" w:rsidRDefault="009F7119">
      <w:pPr>
        <w:pStyle w:val="Answer"/>
      </w:pPr>
      <w:r>
        <w:t>A.</w:t>
      </w:r>
      <w:r>
        <w:tab/>
        <w:t xml:space="preserve">As President and CEO of </w:t>
      </w:r>
      <w:proofErr w:type="spellStart"/>
      <w:r>
        <w:t>ETI</w:t>
      </w:r>
      <w:proofErr w:type="spellEnd"/>
      <w:r>
        <w:t xml:space="preserve">, I have executive and financial responsibility over the business, and operational responsibility for the generation, transmission, and distribution assets used to serve customers in Texas.  In addition, my responsibilities include overseeing the field management of </w:t>
      </w:r>
      <w:proofErr w:type="spellStart"/>
      <w:r>
        <w:t>ETI’s</w:t>
      </w:r>
      <w:proofErr w:type="spellEnd"/>
      <w:r>
        <w:t xml:space="preserve"> electric distribution and transmission systems, customer service, economic development, regulatory affairs, and governmental affairs groups.</w:t>
      </w:r>
    </w:p>
    <w:p w14:paraId="18D60B1E" w14:textId="77777777" w:rsidR="009A0F55" w:rsidRDefault="009A0F55">
      <w:pPr>
        <w:pStyle w:val="Answer"/>
      </w:pPr>
    </w:p>
    <w:p w14:paraId="18D60B1F" w14:textId="77777777" w:rsidR="009A0F55" w:rsidRDefault="009F7119">
      <w:pPr>
        <w:pStyle w:val="QUESTION"/>
      </w:pPr>
      <w:r>
        <w:t>please briefly describe your educational and PROFESSIONAL background.</w:t>
      </w:r>
    </w:p>
    <w:p w14:paraId="18D60B20" w14:textId="77777777" w:rsidR="009A0F55" w:rsidRDefault="009F7119">
      <w:pPr>
        <w:pStyle w:val="Answer"/>
      </w:pPr>
      <w:r>
        <w:t>A.</w:t>
      </w:r>
      <w:r>
        <w:tab/>
        <w:t xml:space="preserve">In December 1983, I earned a Bachelor of Science degree in Engineering Technology from Louisiana State University.  I obtained a Master of Business Administration degree from the Mays School of Business at Texas </w:t>
      </w:r>
      <w:proofErr w:type="spellStart"/>
      <w:r>
        <w:t>A&amp;M</w:t>
      </w:r>
      <w:proofErr w:type="spellEnd"/>
      <w:r>
        <w:t xml:space="preserve"> University in May 2001.  I joined the Resource Planning Department of Entergy Services, Inc. (now, ESL) in 1984.  I held various positions of increasing responsibility in the planning area until December 1995, when I was promoted to Wholesale Executive-Customer Service.  In September 1996, I became Manager, Planning Models &amp; Analysis, in the Resource Planning Department and, as such, managed the group of analysts responsible for utilizing the </w:t>
      </w:r>
      <w:proofErr w:type="spellStart"/>
      <w:r>
        <w:t>PROMOD</w:t>
      </w:r>
      <w:proofErr w:type="spellEnd"/>
      <w:r>
        <w:t xml:space="preserve"> model.  I was also responsible for the supply-side planning models and for preparing production costing forecasts and load and capability forecasts for the integrated planning of the Entergy System, including what was then Entergy Gulf States, Inc. </w:t>
      </w:r>
    </w:p>
    <w:p w14:paraId="18D60B21" w14:textId="77777777" w:rsidR="009A0F55" w:rsidRDefault="009F7119">
      <w:pPr>
        <w:pStyle w:val="Answer2"/>
      </w:pPr>
      <w:r>
        <w:lastRenderedPageBreak/>
        <w:t xml:space="preserve">In December 1998, I became Manager, Gas &amp; Oil Supply, responsible for the planning, acquisition, delivery, and management of the gas supply requirements of the electric generating plants and local distribution systems of the Entergy Operating Companies.  In December 2000, I was named Director, Strategic Initiatives, and in that capacity, I was responsible for developing and implementing process improvements, including, among other things, Six Sigma techniques. </w:t>
      </w:r>
    </w:p>
    <w:p w14:paraId="18D60B22" w14:textId="77777777" w:rsidR="009A0F55" w:rsidRDefault="009F7119">
      <w:pPr>
        <w:pStyle w:val="Answer2"/>
      </w:pPr>
      <w:r>
        <w:t xml:space="preserve">In February 2002, I became Director of Regulatory Affairs and Energy Settlements, a position in which I was responsible for billing processes associated with the Entergy System Agreement, for natural gas, oil, and power settlement processes, and for regulatory affairs affecting the system planning and operations organization. </w:t>
      </w:r>
    </w:p>
    <w:p w14:paraId="18D60B23" w14:textId="77777777" w:rsidR="009A0F55" w:rsidRDefault="009F7119">
      <w:pPr>
        <w:pStyle w:val="Answer2"/>
      </w:pPr>
      <w:r>
        <w:t xml:space="preserve">In March 2011, I became Vice President, Federal Policy.  In that role, I advised Entergy’s businesses on federal policy issues, coordinating with internal teams with responsibility for state and local regulatory and governmental matters and supporting efforts to communicate Entergy’s positions on various issues to federal, state, and local officials.  I also led the Entergy Operating Companies’ efforts to evaluate options for the operations of the Entergy transmission system.  I held this position until June 1, 2012, when I assumed my current position as the President and CEO of </w:t>
      </w:r>
      <w:proofErr w:type="spellStart"/>
      <w:r>
        <w:t>ETI</w:t>
      </w:r>
      <w:proofErr w:type="spellEnd"/>
      <w:r>
        <w:t>.</w:t>
      </w:r>
    </w:p>
    <w:p w14:paraId="18D60B24" w14:textId="77777777" w:rsidR="009A0F55" w:rsidRDefault="009A0F55">
      <w:pPr>
        <w:pStyle w:val="Answer"/>
      </w:pPr>
    </w:p>
    <w:p w14:paraId="18D60B25" w14:textId="77777777" w:rsidR="009A0F55" w:rsidRDefault="009F7119">
      <w:pPr>
        <w:pStyle w:val="QUESTION"/>
      </w:pPr>
      <w:r>
        <w:t>what is the purpose of your direct testimony?</w:t>
      </w:r>
    </w:p>
    <w:p w14:paraId="18D60B26" w14:textId="64512125" w:rsidR="009A0F55" w:rsidRDefault="009F7119">
      <w:pPr>
        <w:pStyle w:val="Answer"/>
      </w:pPr>
      <w:r>
        <w:t>A.</w:t>
      </w:r>
      <w:r>
        <w:tab/>
        <w:t xml:space="preserve">My testimony provides an overview of </w:t>
      </w:r>
      <w:proofErr w:type="spellStart"/>
      <w:r>
        <w:t>ETI’s</w:t>
      </w:r>
      <w:proofErr w:type="spellEnd"/>
      <w:r>
        <w:t xml:space="preserve"> application for an amendment to its certificate of convenience and necessity (“</w:t>
      </w:r>
      <w:proofErr w:type="spellStart"/>
      <w:r>
        <w:t>CCN</w:t>
      </w:r>
      <w:proofErr w:type="spellEnd"/>
      <w:r>
        <w:t xml:space="preserve">”) to construct, own, and operate </w:t>
      </w:r>
      <w:r w:rsidR="00E86382">
        <w:t xml:space="preserve">the Orange County Advanced Power Station (“OCAPS” or the “Project”), </w:t>
      </w:r>
      <w:r>
        <w:t>a new combined-cycle combustion turbine (“</w:t>
      </w:r>
      <w:proofErr w:type="spellStart"/>
      <w:r>
        <w:t>CCCT</w:t>
      </w:r>
      <w:proofErr w:type="spellEnd"/>
      <w:r>
        <w:t>”) facility in Orange County, Texas</w:t>
      </w:r>
      <w:r w:rsidR="00E86382">
        <w:t>.</w:t>
      </w:r>
      <w:r>
        <w:t xml:space="preserve">  </w:t>
      </w:r>
    </w:p>
    <w:p w14:paraId="18D60B27" w14:textId="73AC27E2" w:rsidR="009A0F55" w:rsidRDefault="009F7119">
      <w:pPr>
        <w:pStyle w:val="Answer2"/>
      </w:pPr>
      <w:r>
        <w:lastRenderedPageBreak/>
        <w:t xml:space="preserve">Specifically, my testimony explains that OCAPS is a foundational component of </w:t>
      </w:r>
      <w:proofErr w:type="spellStart"/>
      <w:r>
        <w:t>ETI’s</w:t>
      </w:r>
      <w:proofErr w:type="spellEnd"/>
      <w:r>
        <w:t xml:space="preserve"> resource adequacy and fleet modernization plan.  </w:t>
      </w:r>
      <w:r w:rsidR="00B82470">
        <w:t>The Project</w:t>
      </w:r>
      <w:r>
        <w:t xml:space="preserve"> will provide </w:t>
      </w:r>
      <w:r w:rsidR="00B82470">
        <w:t xml:space="preserve">1,215 MW of </w:t>
      </w:r>
      <w:r w:rsidR="001504AB">
        <w:t>modern</w:t>
      </w:r>
      <w:r w:rsidR="002C635B">
        <w:t xml:space="preserve"> </w:t>
      </w:r>
      <w:proofErr w:type="spellStart"/>
      <w:r w:rsidR="002C635B">
        <w:t>dispatchable</w:t>
      </w:r>
      <w:proofErr w:type="spellEnd"/>
      <w:r>
        <w:t xml:space="preserve"> generation </w:t>
      </w:r>
      <w:r w:rsidR="000B6525">
        <w:t xml:space="preserve">in Texas </w:t>
      </w:r>
      <w:r w:rsidR="005A6A73">
        <w:t>to</w:t>
      </w:r>
      <w:r>
        <w:t xml:space="preserve"> help meet the resource needs of </w:t>
      </w:r>
      <w:proofErr w:type="spellStart"/>
      <w:r>
        <w:t>ETI’s</w:t>
      </w:r>
      <w:proofErr w:type="spellEnd"/>
      <w:r>
        <w:t xml:space="preserve"> customers in a reliable and economic manner, support and promote the Southeast Texas economy, and best position customers for the future.  Importantly, OCAPS will replace </w:t>
      </w:r>
      <w:r w:rsidR="005150C7">
        <w:t xml:space="preserve">roughly 1,100 MW of </w:t>
      </w:r>
      <w:r w:rsidR="00ED6AED">
        <w:t xml:space="preserve">aging </w:t>
      </w:r>
      <w:r>
        <w:t xml:space="preserve">capacity at </w:t>
      </w:r>
      <w:proofErr w:type="spellStart"/>
      <w:r>
        <w:t>ETI’s</w:t>
      </w:r>
      <w:proofErr w:type="spellEnd"/>
      <w:r>
        <w:t xml:space="preserve"> Sabine generation </w:t>
      </w:r>
      <w:r w:rsidR="001B6A06">
        <w:t>site</w:t>
      </w:r>
      <w:r>
        <w:t xml:space="preserve">, </w:t>
      </w:r>
      <w:r w:rsidR="001B6A06">
        <w:t>where</w:t>
      </w:r>
      <w:r>
        <w:t xml:space="preserve"> the Project will be </w:t>
      </w:r>
      <w:r w:rsidR="001B6A06">
        <w:t>located</w:t>
      </w:r>
      <w:r>
        <w:t xml:space="preserve">.  In addition to being the most efficient generator in </w:t>
      </w:r>
      <w:proofErr w:type="spellStart"/>
      <w:r>
        <w:t>ETI’s</w:t>
      </w:r>
      <w:proofErr w:type="spellEnd"/>
      <w:r>
        <w:t xml:space="preserve"> fleet, the Project will be capable of co-firing 30% hydrogen by volume upon commercial operation and thus provide an opportunity for a significant amount of clean </w:t>
      </w:r>
      <w:proofErr w:type="spellStart"/>
      <w:r>
        <w:t>dispatchable</w:t>
      </w:r>
      <w:proofErr w:type="spellEnd"/>
      <w:r>
        <w:t xml:space="preserve"> energy.  OCAPS’ dual fuel capability and ability to </w:t>
      </w:r>
      <w:r w:rsidR="00052706">
        <w:t>utilize</w:t>
      </w:r>
      <w:r>
        <w:t xml:space="preserve"> </w:t>
      </w:r>
      <w:proofErr w:type="spellStart"/>
      <w:r>
        <w:t>ETI’s</w:t>
      </w:r>
      <w:proofErr w:type="spellEnd"/>
      <w:r>
        <w:t xml:space="preserve"> </w:t>
      </w:r>
      <w:proofErr w:type="spellStart"/>
      <w:r>
        <w:t>Spindletop</w:t>
      </w:r>
      <w:proofErr w:type="spellEnd"/>
      <w:r>
        <w:t xml:space="preserve"> </w:t>
      </w:r>
      <w:r w:rsidR="00052706">
        <w:t xml:space="preserve">fuel </w:t>
      </w:r>
      <w:r>
        <w:t xml:space="preserve">storage facility </w:t>
      </w:r>
      <w:r w:rsidR="00052706">
        <w:t xml:space="preserve">will </w:t>
      </w:r>
      <w:r>
        <w:t xml:space="preserve">provide significant and sustainable economic and reliability benefits to </w:t>
      </w:r>
      <w:proofErr w:type="spellStart"/>
      <w:r>
        <w:t>ETI</w:t>
      </w:r>
      <w:proofErr w:type="spellEnd"/>
      <w:r>
        <w:t xml:space="preserve"> customers.  </w:t>
      </w:r>
    </w:p>
    <w:p w14:paraId="18D60B28" w14:textId="77777777" w:rsidR="009A0F55" w:rsidRDefault="009F7119">
      <w:pPr>
        <w:pStyle w:val="Answer2"/>
      </w:pPr>
      <w:r>
        <w:t xml:space="preserve">My testimony also introduces the testimony of other witnesses filed in support of </w:t>
      </w:r>
      <w:proofErr w:type="spellStart"/>
      <w:r>
        <w:t>ETI’s</w:t>
      </w:r>
      <w:proofErr w:type="spellEnd"/>
      <w:r>
        <w:t xml:space="preserve"> application and discusses the regulatory approvals </w:t>
      </w:r>
      <w:proofErr w:type="spellStart"/>
      <w:r>
        <w:t>ETI</w:t>
      </w:r>
      <w:proofErr w:type="spellEnd"/>
      <w:r>
        <w:t xml:space="preserve"> seeks from the Commission.</w:t>
      </w:r>
    </w:p>
    <w:p w14:paraId="18D60B29" w14:textId="77777777" w:rsidR="009A0F55" w:rsidRDefault="009A0F55">
      <w:pPr>
        <w:pStyle w:val="Answer"/>
      </w:pPr>
    </w:p>
    <w:p w14:paraId="18D60B2A" w14:textId="77777777" w:rsidR="009A0F55" w:rsidRDefault="009F7119">
      <w:pPr>
        <w:pStyle w:val="QUESTION"/>
      </w:pPr>
      <w:r>
        <w:t>DO YOU SPONSOR ANY EXHIBITS?</w:t>
      </w:r>
    </w:p>
    <w:p w14:paraId="18D60B2B" w14:textId="77777777" w:rsidR="009A0F55" w:rsidRDefault="009F7119">
      <w:pPr>
        <w:pStyle w:val="Answer"/>
      </w:pPr>
      <w:r>
        <w:t>A.</w:t>
      </w:r>
      <w:r>
        <w:tab/>
        <w:t>Yes, I sponsor the exhibit listed in the Table of Contents to my testimony.</w:t>
      </w:r>
    </w:p>
    <w:p w14:paraId="18D60B2C" w14:textId="77777777" w:rsidR="009A0F55" w:rsidRDefault="009A0F55">
      <w:pPr>
        <w:pStyle w:val="Answer"/>
      </w:pPr>
    </w:p>
    <w:p w14:paraId="18D60B2D" w14:textId="77777777" w:rsidR="009A0F55" w:rsidRDefault="009F7119">
      <w:pPr>
        <w:pStyle w:val="Heading1"/>
      </w:pPr>
      <w:bookmarkStart w:id="3" w:name="_Toc82442933"/>
      <w:r>
        <w:t>Overview of the Project and Application</w:t>
      </w:r>
      <w:bookmarkEnd w:id="3"/>
      <w:r>
        <w:t xml:space="preserve"> </w:t>
      </w:r>
    </w:p>
    <w:p w14:paraId="18D60B2E" w14:textId="77777777" w:rsidR="009A0F55" w:rsidRDefault="009F7119">
      <w:pPr>
        <w:pStyle w:val="QUESTION"/>
      </w:pPr>
      <w:r>
        <w:t>why is now the right time to invest in ocaps?</w:t>
      </w:r>
    </w:p>
    <w:p w14:paraId="18D60B2F" w14:textId="0ECE43A0" w:rsidR="009A0F55" w:rsidRDefault="00FF081E">
      <w:pPr>
        <w:pStyle w:val="Answer"/>
        <w:numPr>
          <w:ilvl w:val="2"/>
          <w:numId w:val="1"/>
        </w:numPr>
      </w:pPr>
      <w:proofErr w:type="spellStart"/>
      <w:r w:rsidRPr="00FF081E">
        <w:t>ETI’s</w:t>
      </w:r>
      <w:proofErr w:type="spellEnd"/>
      <w:r w:rsidRPr="00FF081E">
        <w:t xml:space="preserve"> load is growing and expected to continue growing, while at the same time </w:t>
      </w:r>
      <w:r w:rsidR="0072692C">
        <w:t>roughly 1,100 MW</w:t>
      </w:r>
      <w:r w:rsidRPr="00FF081E">
        <w:t xml:space="preserve"> of legacy generation at </w:t>
      </w:r>
      <w:proofErr w:type="spellStart"/>
      <w:r w:rsidRPr="00FF081E">
        <w:t>ETI’s</w:t>
      </w:r>
      <w:proofErr w:type="spellEnd"/>
      <w:r w:rsidRPr="00FF081E">
        <w:t xml:space="preserve"> Sabine facility is nearing deactivation.</w:t>
      </w:r>
      <w:r>
        <w:t xml:space="preserve">  </w:t>
      </w:r>
      <w:r w:rsidR="009F7119">
        <w:lastRenderedPageBreak/>
        <w:t xml:space="preserve">OCAPS will be uniquely positioned to </w:t>
      </w:r>
      <w:r w:rsidR="00362AEB">
        <w:t>address</w:t>
      </w:r>
      <w:r w:rsidR="009F7119">
        <w:t xml:space="preserve"> several critical resource planning </w:t>
      </w:r>
      <w:r w:rsidR="00362AEB">
        <w:t xml:space="preserve">needs </w:t>
      </w:r>
      <w:r w:rsidR="00CA100F">
        <w:t xml:space="preserve">in a timely manner </w:t>
      </w:r>
      <w:r w:rsidR="00362AEB">
        <w:t>and provide</w:t>
      </w:r>
      <w:r w:rsidR="00316E8F">
        <w:t xml:space="preserve"> </w:t>
      </w:r>
      <w:r w:rsidR="009F7119">
        <w:t>benefits</w:t>
      </w:r>
      <w:r w:rsidR="00362AEB">
        <w:t xml:space="preserve"> to </w:t>
      </w:r>
      <w:proofErr w:type="spellStart"/>
      <w:r w:rsidR="00362AEB">
        <w:t>ETI</w:t>
      </w:r>
      <w:proofErr w:type="spellEnd"/>
      <w:r w:rsidR="00362AEB">
        <w:t xml:space="preserve"> customers</w:t>
      </w:r>
      <w:r w:rsidR="00772B4E">
        <w:t xml:space="preserve"> over a wide range of </w:t>
      </w:r>
      <w:r w:rsidR="00071318">
        <w:t xml:space="preserve">evolving </w:t>
      </w:r>
      <w:r w:rsidR="00772B4E">
        <w:t>future conditions</w:t>
      </w:r>
      <w:r w:rsidR="00071318">
        <w:t>.</w:t>
      </w:r>
      <w:r w:rsidR="009F7119">
        <w:t xml:space="preserve">  </w:t>
      </w:r>
      <w:r w:rsidR="00CD584A">
        <w:t>T</w:t>
      </w:r>
      <w:r w:rsidR="009F7119">
        <w:t xml:space="preserve">hese benefits include, among others, new physical capacity from a clean </w:t>
      </w:r>
      <w:proofErr w:type="spellStart"/>
      <w:r w:rsidR="009F7119">
        <w:t>dispatchable</w:t>
      </w:r>
      <w:proofErr w:type="spellEnd"/>
      <w:r w:rsidR="009F7119">
        <w:t xml:space="preserve"> energy resource in close proximity to both retiring generation and increasing industrial load; regional reliability and operational flexibility; less reliance on transmission capacity in the West of the Atchafalaya Basin (“</w:t>
      </w:r>
      <w:proofErr w:type="spellStart"/>
      <w:r w:rsidR="009F7119">
        <w:t>WOTAB</w:t>
      </w:r>
      <w:proofErr w:type="spellEnd"/>
      <w:r w:rsidR="009F7119">
        <w:t>”) load pocket, including during emergency events; enhanced storm response; portfolio diversity; and mitigation of risk associated with an over-reliance on the Midcontinent Independent System Operator</w:t>
      </w:r>
      <w:r w:rsidR="00175005">
        <w:t>, Inc.</w:t>
      </w:r>
      <w:r w:rsidR="009F7119">
        <w:t xml:space="preserve"> (“MISO”) capacity and energy markets.</w:t>
      </w:r>
    </w:p>
    <w:p w14:paraId="0C0F45FC" w14:textId="18A6C9E2" w:rsidR="00FF081E" w:rsidRDefault="009F7119">
      <w:pPr>
        <w:pStyle w:val="Answer2"/>
      </w:pPr>
      <w:proofErr w:type="spellStart"/>
      <w:r>
        <w:t>ETI</w:t>
      </w:r>
      <w:proofErr w:type="spellEnd"/>
      <w:r>
        <w:t xml:space="preserve"> must plan </w:t>
      </w:r>
      <w:r w:rsidR="000F70F0">
        <w:t>now</w:t>
      </w:r>
      <w:r>
        <w:t xml:space="preserve"> to replace the soon-to-retire Sabine capacity with physical</w:t>
      </w:r>
      <w:r w:rsidR="009E7BC8">
        <w:t>, in-region</w:t>
      </w:r>
      <w:r>
        <w:t xml:space="preserve"> capacity by the time the Sabine units are expected to deactivate.  As discussed by </w:t>
      </w:r>
      <w:proofErr w:type="spellStart"/>
      <w:r>
        <w:t>ETI</w:t>
      </w:r>
      <w:proofErr w:type="spellEnd"/>
      <w:r>
        <w:t xml:space="preserve"> witness Nicholas Owens, </w:t>
      </w:r>
      <w:r w:rsidR="00AB3C9D">
        <w:t xml:space="preserve">purchasing capacity credits in </w:t>
      </w:r>
      <w:r>
        <w:t xml:space="preserve">the MISO Planning Resource Auction (“PRA”) is not an appropriate or responsible long-term solution to replacing that capacity.  Apart from the substantial economic risk over-reliance on the PRA would place on </w:t>
      </w:r>
      <w:proofErr w:type="spellStart"/>
      <w:r>
        <w:t>ETI</w:t>
      </w:r>
      <w:proofErr w:type="spellEnd"/>
      <w:r>
        <w:t xml:space="preserve"> customers, the reliability need for physical, in-region generation </w:t>
      </w:r>
      <w:r w:rsidR="00505C0E">
        <w:t>has never been more</w:t>
      </w:r>
      <w:r>
        <w:t xml:space="preserve"> apparent</w:t>
      </w:r>
      <w:r w:rsidR="00505C0E">
        <w:t xml:space="preserve"> given</w:t>
      </w:r>
      <w:r>
        <w:t xml:space="preserve"> </w:t>
      </w:r>
      <w:proofErr w:type="spellStart"/>
      <w:r>
        <w:t>ETI’s</w:t>
      </w:r>
      <w:proofErr w:type="spellEnd"/>
      <w:r>
        <w:t xml:space="preserve"> recent experience with major hurricanes in 2020 and Winter Storm Uri in February 2021.  </w:t>
      </w:r>
    </w:p>
    <w:p w14:paraId="18D60B30" w14:textId="428AEA77" w:rsidR="009A0F55" w:rsidRDefault="009F7119">
      <w:pPr>
        <w:pStyle w:val="Answer2"/>
      </w:pPr>
      <w:r>
        <w:t xml:space="preserve">Hurricane Laura, which was the strongest hurricane to hit Louisiana in over 160 years and caused widespread devastation in the Entergy service territory, damaged or destroyed </w:t>
      </w:r>
      <w:r w:rsidRPr="005021F4">
        <w:rPr>
          <w:i/>
          <w:iCs/>
        </w:rPr>
        <w:t>all</w:t>
      </w:r>
      <w:r>
        <w:t xml:space="preserve"> </w:t>
      </w:r>
      <w:r w:rsidR="005021F4">
        <w:t xml:space="preserve">major </w:t>
      </w:r>
      <w:r>
        <w:t xml:space="preserve">transmission tie lines between </w:t>
      </w:r>
      <w:proofErr w:type="spellStart"/>
      <w:r>
        <w:t>ETI</w:t>
      </w:r>
      <w:proofErr w:type="spellEnd"/>
      <w:r>
        <w:t xml:space="preserve"> and Entergy Louisiana, LLC</w:t>
      </w:r>
      <w:r w:rsidR="00FF081E">
        <w:t>, rendering</w:t>
      </w:r>
      <w:r>
        <w:t xml:space="preserve"> them out of service.  These tie lines have been critical to </w:t>
      </w:r>
      <w:proofErr w:type="spellStart"/>
      <w:r>
        <w:t>ETI’s</w:t>
      </w:r>
      <w:proofErr w:type="spellEnd"/>
      <w:r>
        <w:t xml:space="preserve"> ability to import power from the east to meet customer demand.  </w:t>
      </w:r>
      <w:r w:rsidR="00481EBF">
        <w:t>Without</w:t>
      </w:r>
      <w:r>
        <w:t xml:space="preserve"> the </w:t>
      </w:r>
      <w:r w:rsidR="003471C7">
        <w:t xml:space="preserve">aging </w:t>
      </w:r>
      <w:r>
        <w:t>Sabine units</w:t>
      </w:r>
      <w:r w:rsidR="00481EBF">
        <w:t xml:space="preserve">, the </w:t>
      </w:r>
      <w:r w:rsidR="00464A01">
        <w:t xml:space="preserve">situation for </w:t>
      </w:r>
      <w:proofErr w:type="spellStart"/>
      <w:r w:rsidR="00464A01">
        <w:t>ETI</w:t>
      </w:r>
      <w:proofErr w:type="spellEnd"/>
      <w:r w:rsidR="00464A01">
        <w:t xml:space="preserve"> customers</w:t>
      </w:r>
      <w:r>
        <w:t xml:space="preserve"> would have been </w:t>
      </w:r>
      <w:r w:rsidR="008B3061">
        <w:t>far</w:t>
      </w:r>
      <w:r>
        <w:t xml:space="preserve"> more devastating, including a </w:t>
      </w:r>
      <w:r>
        <w:lastRenderedPageBreak/>
        <w:t xml:space="preserve">restoration of service that would have taken weeks, </w:t>
      </w:r>
      <w:r w:rsidR="003471C7">
        <w:t>if not</w:t>
      </w:r>
      <w:r>
        <w:t xml:space="preserve"> a month, </w:t>
      </w:r>
      <w:r w:rsidR="003471C7">
        <w:t xml:space="preserve">longer </w:t>
      </w:r>
      <w:r>
        <w:t xml:space="preserve">to complete.  Replacing </w:t>
      </w:r>
      <w:proofErr w:type="spellStart"/>
      <w:r w:rsidR="00751EF5">
        <w:t>ETI’s</w:t>
      </w:r>
      <w:proofErr w:type="spellEnd"/>
      <w:r>
        <w:t xml:space="preserve"> retiring </w:t>
      </w:r>
      <w:r w:rsidR="00751EF5">
        <w:t xml:space="preserve">Sabine </w:t>
      </w:r>
      <w:r>
        <w:t>generation</w:t>
      </w:r>
      <w:r w:rsidR="00751EF5">
        <w:t>, which will range from 5</w:t>
      </w:r>
      <w:r w:rsidR="003352DE">
        <w:t>2</w:t>
      </w:r>
      <w:r w:rsidR="00751EF5">
        <w:t xml:space="preserve"> to 61 years old upon deactivation,</w:t>
      </w:r>
      <w:r>
        <w:t xml:space="preserve"> is paramount to the continued provision of reliable service in </w:t>
      </w:r>
      <w:proofErr w:type="spellStart"/>
      <w:r>
        <w:t>ETI’s</w:t>
      </w:r>
      <w:proofErr w:type="spellEnd"/>
      <w:r>
        <w:t xml:space="preserve"> Eastern Region.</w:t>
      </w:r>
    </w:p>
    <w:p w14:paraId="18D60B31" w14:textId="15B5F2BE" w:rsidR="009A0F55" w:rsidRDefault="009F7119">
      <w:pPr>
        <w:pStyle w:val="Answer2"/>
      </w:pPr>
      <w:r>
        <w:t xml:space="preserve">As noted above, OCAPS will also be capable of co-firing up to 30% of hydrogen upon commercial operation.  </w:t>
      </w:r>
      <w:r w:rsidR="00813E33">
        <w:t xml:space="preserve">Recent experience during Winter Storm Uri showed that access to natural gas can be limited and its cost can skyrocket during severe weather.  </w:t>
      </w:r>
      <w:r w:rsidR="00AC45B6">
        <w:t>T</w:t>
      </w:r>
      <w:r>
        <w:t>he reliability and economic benefits of dual fuel capabilit</w:t>
      </w:r>
      <w:r w:rsidR="00813E33">
        <w:t>y</w:t>
      </w:r>
      <w:r>
        <w:t xml:space="preserve"> were recently recognized by the Texas Legislature when it unanimously passed House Bill 1510 in response to the tragic events of Winter Storm Uri.  House Bill 1510, which is now law,</w:t>
      </w:r>
      <w:r>
        <w:rPr>
          <w:rStyle w:val="FootnoteReference"/>
        </w:rPr>
        <w:footnoteReference w:id="3"/>
      </w:r>
      <w:r>
        <w:t xml:space="preserve"> requires the Commission to consider the economic and reliability benefits of dual fuel and fuel storage capabilities when considering approval of new generation in areas outside the Electric Reliability Council of Texas region.  OCAPS will be well-suited to advance this policy</w:t>
      </w:r>
      <w:r w:rsidR="00E86CB9">
        <w:t xml:space="preserve"> and mitigate risk to </w:t>
      </w:r>
      <w:proofErr w:type="spellStart"/>
      <w:r w:rsidR="00E86CB9">
        <w:t>ETI</w:t>
      </w:r>
      <w:proofErr w:type="spellEnd"/>
      <w:r w:rsidR="00E86CB9">
        <w:t xml:space="preserve"> customer</w:t>
      </w:r>
      <w:r w:rsidR="004129BD">
        <w:t>s</w:t>
      </w:r>
      <w:r>
        <w:t xml:space="preserve">, as it will not only be capable of utilizing both natural gas and hydrogen, but will also take advantage of the fuel storage and swing capabilities of </w:t>
      </w:r>
      <w:proofErr w:type="spellStart"/>
      <w:r w:rsidR="00671D96">
        <w:t>ETI’s</w:t>
      </w:r>
      <w:proofErr w:type="spellEnd"/>
      <w:r>
        <w:t xml:space="preserve"> </w:t>
      </w:r>
      <w:proofErr w:type="spellStart"/>
      <w:r>
        <w:t>Spindletop</w:t>
      </w:r>
      <w:proofErr w:type="spellEnd"/>
      <w:r>
        <w:t xml:space="preserve"> storage facility.</w:t>
      </w:r>
    </w:p>
    <w:p w14:paraId="18D60B32" w14:textId="688B5F7B" w:rsidR="009A0F55" w:rsidRDefault="00630D18">
      <w:pPr>
        <w:pStyle w:val="Answer2"/>
      </w:pPr>
      <w:r>
        <w:t>I</w:t>
      </w:r>
      <w:r w:rsidR="009F7119">
        <w:t xml:space="preserve">nvesting in these hydrogen capabilities now will </w:t>
      </w:r>
      <w:r w:rsidR="0033486F">
        <w:t>not only produce</w:t>
      </w:r>
      <w:r w:rsidR="0000525D">
        <w:t xml:space="preserve"> </w:t>
      </w:r>
      <w:r w:rsidR="00423C1F">
        <w:t>immediate</w:t>
      </w:r>
      <w:r w:rsidR="0000525D">
        <w:t xml:space="preserve"> </w:t>
      </w:r>
      <w:r w:rsidR="00A33439">
        <w:t xml:space="preserve">reliability benefits </w:t>
      </w:r>
      <w:r w:rsidR="0033486F">
        <w:t>but also significantly reduce the cost and outage duration required</w:t>
      </w:r>
      <w:r w:rsidR="00E9521F">
        <w:t xml:space="preserve"> to expand OCAPS’ hydrogen</w:t>
      </w:r>
      <w:r w:rsidR="009F7119">
        <w:t xml:space="preserve"> capabilities in the future as </w:t>
      </w:r>
      <w:r w:rsidR="00670C1B">
        <w:t>conditions</w:t>
      </w:r>
      <w:r w:rsidR="009F7119">
        <w:t xml:space="preserve"> warrant, </w:t>
      </w:r>
      <w:r w:rsidR="006610CA">
        <w:t xml:space="preserve">thereby mitigating economic and reliability risk to </w:t>
      </w:r>
      <w:proofErr w:type="spellStart"/>
      <w:r w:rsidR="006610CA">
        <w:t>ETI</w:t>
      </w:r>
      <w:proofErr w:type="spellEnd"/>
      <w:r w:rsidR="006610CA">
        <w:t xml:space="preserve"> customers.  </w:t>
      </w:r>
      <w:r w:rsidR="00BA69C0">
        <w:t>A</w:t>
      </w:r>
      <w:r w:rsidR="00912A69">
        <w:t xml:space="preserve">t </w:t>
      </w:r>
      <w:r w:rsidR="00A30B4B">
        <w:t>roughly</w:t>
      </w:r>
      <w:r w:rsidR="00912A69">
        <w:t xml:space="preserve"> </w:t>
      </w:r>
      <w:r w:rsidR="009E30BE">
        <w:t xml:space="preserve">5% of the </w:t>
      </w:r>
      <w:r w:rsidR="00A30B4B">
        <w:t xml:space="preserve">total </w:t>
      </w:r>
      <w:r w:rsidR="009E30BE">
        <w:t>Project cost</w:t>
      </w:r>
      <w:r w:rsidR="00912A69">
        <w:t>, this investment will provide</w:t>
      </w:r>
      <w:r w:rsidR="00962B30">
        <w:t xml:space="preserve"> </w:t>
      </w:r>
      <w:r w:rsidR="009E30BE">
        <w:t xml:space="preserve">these benefits </w:t>
      </w:r>
      <w:r w:rsidR="009F7119">
        <w:t xml:space="preserve">without materially affecting the </w:t>
      </w:r>
      <w:r w:rsidR="009F7119">
        <w:lastRenderedPageBreak/>
        <w:t>Project’s current economic</w:t>
      </w:r>
      <w:r w:rsidR="00670C1B">
        <w:t>s</w:t>
      </w:r>
      <w:r w:rsidR="009F7119">
        <w:t>.  This benefit is consistent with the nationwide transition toward a low-carbon economy—a transition that many companies presently in Southeast Texas, as well as companies that may be interested in locating new operations in Southeast Texas, are leading—and recognizes the investment community’s and customers’ evolving demand for sustainability in their operations and in the energy they use.</w:t>
      </w:r>
      <w:r w:rsidR="00ED7025">
        <w:t xml:space="preserve">  Just as importantly, </w:t>
      </w:r>
      <w:r w:rsidR="00F00179">
        <w:t xml:space="preserve">OCAPS’ hydrogen capability will </w:t>
      </w:r>
      <w:r w:rsidR="009B7EA9">
        <w:t xml:space="preserve">help </w:t>
      </w:r>
      <w:r w:rsidR="00F00179">
        <w:t xml:space="preserve">ensure </w:t>
      </w:r>
      <w:proofErr w:type="spellStart"/>
      <w:r w:rsidR="00F00179">
        <w:t>ETI’s</w:t>
      </w:r>
      <w:proofErr w:type="spellEnd"/>
      <w:r w:rsidR="00F00179">
        <w:t xml:space="preserve"> customers </w:t>
      </w:r>
      <w:r w:rsidR="009B7EA9">
        <w:t xml:space="preserve">are </w:t>
      </w:r>
      <w:r w:rsidR="00F00179">
        <w:t xml:space="preserve">well positioned </w:t>
      </w:r>
      <w:r w:rsidR="009B7EA9">
        <w:t xml:space="preserve">for whatever </w:t>
      </w:r>
      <w:r w:rsidR="009B5FCB">
        <w:t xml:space="preserve">federal </w:t>
      </w:r>
      <w:r w:rsidR="009B7EA9">
        <w:t>polic</w:t>
      </w:r>
      <w:r w:rsidR="009B5FCB">
        <w:t>ies</w:t>
      </w:r>
      <w:r w:rsidR="009B7EA9">
        <w:t xml:space="preserve"> and market conditions prevail over the coming decades.</w:t>
      </w:r>
      <w:r w:rsidR="009F7119">
        <w:t xml:space="preserve">  </w:t>
      </w:r>
    </w:p>
    <w:p w14:paraId="18D60B33" w14:textId="77777777" w:rsidR="009A0F55" w:rsidRDefault="009A0F55">
      <w:pPr>
        <w:pStyle w:val="Answer"/>
      </w:pPr>
    </w:p>
    <w:p w14:paraId="18D60B34" w14:textId="45DAF3AF" w:rsidR="009A0F55" w:rsidRDefault="009F7119">
      <w:pPr>
        <w:pStyle w:val="QUESTION"/>
      </w:pPr>
      <w:r>
        <w:t xml:space="preserve">please </w:t>
      </w:r>
      <w:r w:rsidR="00FB4391">
        <w:t xml:space="preserve">SUMMARIZE HOW OCAPS FITS INTO </w:t>
      </w:r>
      <w:proofErr w:type="spellStart"/>
      <w:r w:rsidR="00FB4391">
        <w:t>ETI’S</w:t>
      </w:r>
      <w:proofErr w:type="spellEnd"/>
      <w:r w:rsidR="00FB4391">
        <w:t xml:space="preserve"> </w:t>
      </w:r>
      <w:r w:rsidR="009E37D4">
        <w:t>RESOURCE ADEQUACY PLAN</w:t>
      </w:r>
      <w:r>
        <w:t>.</w:t>
      </w:r>
    </w:p>
    <w:p w14:paraId="18D60B36" w14:textId="4A79F7C3" w:rsidR="009A0F55" w:rsidRDefault="009F7119" w:rsidP="0074757E">
      <w:pPr>
        <w:pStyle w:val="Answer"/>
      </w:pPr>
      <w:r>
        <w:t>A.</w:t>
      </w:r>
      <w:r>
        <w:tab/>
      </w:r>
      <w:r w:rsidR="009E37D4">
        <w:t>OCAPS is a cornerstone of</w:t>
      </w:r>
      <w:r>
        <w:t xml:space="preserve"> </w:t>
      </w:r>
      <w:proofErr w:type="spellStart"/>
      <w:r>
        <w:t>ETI’s</w:t>
      </w:r>
      <w:proofErr w:type="spellEnd"/>
      <w:r>
        <w:t xml:space="preserve"> continuing effort to meet the growing needs of its customers by building new infrastructure to provide reliable, sustainable, and affordable electricity in </w:t>
      </w:r>
      <w:proofErr w:type="spellStart"/>
      <w:r>
        <w:t>ETI’s</w:t>
      </w:r>
      <w:proofErr w:type="spellEnd"/>
      <w:r>
        <w:t xml:space="preserve"> footprint now and into the future.  </w:t>
      </w:r>
      <w:proofErr w:type="spellStart"/>
      <w:r>
        <w:t>ETI</w:t>
      </w:r>
      <w:proofErr w:type="spellEnd"/>
      <w:r>
        <w:t xml:space="preserve"> has a significant, well-established need for additional capacity and energy.  This need is exacerbated by </w:t>
      </w:r>
      <w:r w:rsidR="0074757E">
        <w:t xml:space="preserve">the </w:t>
      </w:r>
      <w:r w:rsidR="00A2778A">
        <w:t xml:space="preserve">need to </w:t>
      </w:r>
      <w:r w:rsidR="00404C97">
        <w:t>orderly deactivate</w:t>
      </w:r>
      <w:r>
        <w:t xml:space="preserve"> capacity at the Sabine facility</w:t>
      </w:r>
      <w:r w:rsidR="00404C97">
        <w:t xml:space="preserve"> that is</w:t>
      </w:r>
      <w:r>
        <w:t xml:space="preserve"> approaching the end of </w:t>
      </w:r>
      <w:r w:rsidR="00404C97">
        <w:t>its</w:t>
      </w:r>
      <w:r>
        <w:t xml:space="preserve"> useful li</w:t>
      </w:r>
      <w:r w:rsidR="00404C97">
        <w:t>fe</w:t>
      </w:r>
      <w:r>
        <w:t>.  The recent addition of the Montgomery County Power Station (“</w:t>
      </w:r>
      <w:proofErr w:type="spellStart"/>
      <w:r>
        <w:t>MCPS</w:t>
      </w:r>
      <w:proofErr w:type="spellEnd"/>
      <w:r>
        <w:t>”), a 993</w:t>
      </w:r>
      <w:r w:rsidR="00274CDE">
        <w:t xml:space="preserve"> </w:t>
      </w:r>
      <w:r>
        <w:t xml:space="preserve">MW </w:t>
      </w:r>
      <w:proofErr w:type="spellStart"/>
      <w:r>
        <w:t>CCCT</w:t>
      </w:r>
      <w:proofErr w:type="spellEnd"/>
      <w:r>
        <w:t xml:space="preserve"> placed in service on January 1, 2021, helped address needs in the Western Region, including </w:t>
      </w:r>
      <w:proofErr w:type="spellStart"/>
      <w:r>
        <w:t>ETI’s</w:t>
      </w:r>
      <w:proofErr w:type="spellEnd"/>
      <w:r>
        <w:t xml:space="preserve"> need for base load and core load-following capacity.</w:t>
      </w:r>
      <w:r>
        <w:rPr>
          <w:rStyle w:val="FootnoteReference"/>
        </w:rPr>
        <w:footnoteReference w:id="4"/>
      </w:r>
      <w:r>
        <w:t xml:space="preserve">  </w:t>
      </w:r>
      <w:proofErr w:type="spellStart"/>
      <w:r>
        <w:t>ETI</w:t>
      </w:r>
      <w:proofErr w:type="spellEnd"/>
      <w:r>
        <w:t xml:space="preserve"> has also addressed a portion of its need for peaking and reserve capacity through acquisition of the Hardin County Peaking Facility from East </w:t>
      </w:r>
      <w:r>
        <w:lastRenderedPageBreak/>
        <w:t>Texas Electric Cooperative, Inc., and is planning deployment of a fleet of distributed generation, in part, to enhance grid resiliency.  The Company is also seeking to add solar resources to its supply portfolio.</w:t>
      </w:r>
      <w:r>
        <w:rPr>
          <w:rStyle w:val="FootnoteReference"/>
        </w:rPr>
        <w:footnoteReference w:id="5"/>
      </w:r>
      <w:r>
        <w:t xml:space="preserve">  However, even with the addition of these resources, </w:t>
      </w:r>
      <w:proofErr w:type="spellStart"/>
      <w:r>
        <w:t>ETI</w:t>
      </w:r>
      <w:proofErr w:type="spellEnd"/>
      <w:r>
        <w:t xml:space="preserve"> continues to have significant near- and long-term resource needs, as addressed in detail </w:t>
      </w:r>
      <w:r w:rsidR="008E1CCC">
        <w:t>by</w:t>
      </w:r>
      <w:r>
        <w:t xml:space="preserve"> Company witness Abigail Weaver.  </w:t>
      </w:r>
    </w:p>
    <w:p w14:paraId="18D60B37" w14:textId="77777777" w:rsidR="009A0F55" w:rsidRDefault="009F7119">
      <w:pPr>
        <w:pStyle w:val="Answer2"/>
      </w:pPr>
      <w:r>
        <w:t xml:space="preserve">The addition of OCAPS is the next important step in meeting </w:t>
      </w:r>
      <w:proofErr w:type="spellStart"/>
      <w:r>
        <w:t>ETI’s</w:t>
      </w:r>
      <w:proofErr w:type="spellEnd"/>
      <w:r>
        <w:t xml:space="preserve"> resource needs in a reliable, sustainable, and affordable manner while mitigating risk to customers.  </w:t>
      </w:r>
    </w:p>
    <w:p w14:paraId="18D60B38" w14:textId="77777777" w:rsidR="009A0F55" w:rsidRDefault="009A0F55">
      <w:pPr>
        <w:pStyle w:val="Answer"/>
        <w:ind w:left="0" w:firstLine="0"/>
        <w:rPr>
          <w:rFonts w:eastAsia="Calibri"/>
        </w:rPr>
      </w:pPr>
    </w:p>
    <w:p w14:paraId="18D60B39" w14:textId="77777777" w:rsidR="009A0F55" w:rsidRDefault="009F7119">
      <w:pPr>
        <w:pStyle w:val="QUESTION"/>
      </w:pPr>
      <w:r>
        <w:t>PLEASE DESCRIBE THE PROJECT in more detail.</w:t>
      </w:r>
    </w:p>
    <w:p w14:paraId="18D60B3A" w14:textId="4422DD1D" w:rsidR="009A0F55" w:rsidRDefault="009F7119">
      <w:pPr>
        <w:pStyle w:val="Answer"/>
      </w:pPr>
      <w:r>
        <w:t>A.</w:t>
      </w:r>
      <w:r>
        <w:tab/>
        <w:t xml:space="preserve">OCAPS will be a </w:t>
      </w:r>
      <w:proofErr w:type="spellStart"/>
      <w:r>
        <w:t>2x1</w:t>
      </w:r>
      <w:proofErr w:type="spellEnd"/>
      <w:r>
        <w:t xml:space="preserve"> </w:t>
      </w:r>
      <w:proofErr w:type="spellStart"/>
      <w:r>
        <w:t>CCCT</w:t>
      </w:r>
      <w:proofErr w:type="spellEnd"/>
      <w:r>
        <w:t xml:space="preserve"> generating facility with a nominal capacity of approximately 1,215 MW.  The total cost estimate of the Project at approximately $1.19 billion is inclusive of the estimated costs of the generation facilities, transmission upgrades, contingency, an allowance for funds used during construction (“</w:t>
      </w:r>
      <w:proofErr w:type="spellStart"/>
      <w:r>
        <w:t>AFUDC</w:t>
      </w:r>
      <w:proofErr w:type="spellEnd"/>
      <w:r>
        <w:t xml:space="preserve">”), and necessary regulatory expenses, among others.  The modern turbines incorporated into OCAPS are, by design, capable of co-firing up to 30% hydrogen, and included in the total cost of the Project is a $65 million investment in other plant infrastructure to enable the plant to utilize this co-firing capability upon commercial operation.  </w:t>
      </w:r>
      <w:r w:rsidR="00404C97">
        <w:t>As noted above, i</w:t>
      </w:r>
      <w:r>
        <w:t xml:space="preserve">nvesting in hydrogen capabilities now will allow OCAPS to use two fuels to enhance reliability and convert more economically and quickly to 100% hydrogen </w:t>
      </w:r>
      <w:r>
        <w:lastRenderedPageBreak/>
        <w:t xml:space="preserve">in the future, as changing circumstances warrant.  This benefit will protect </w:t>
      </w:r>
      <w:proofErr w:type="spellStart"/>
      <w:r>
        <w:t>ETI</w:t>
      </w:r>
      <w:proofErr w:type="spellEnd"/>
      <w:r>
        <w:t xml:space="preserve"> customers by ensuring OCAPS is positioned to provide sustainable value to Texans over its life as federal policy and market conditions evolve.  </w:t>
      </w:r>
      <w:proofErr w:type="spellStart"/>
      <w:r>
        <w:t>ETI</w:t>
      </w:r>
      <w:proofErr w:type="spellEnd"/>
      <w:r>
        <w:t xml:space="preserve"> witness Carlos Ruiz discusses the cost estimate for the Project, including how it was developed and the cost components.  Mr. Ruiz also describes the technical and operating characteristics of the facility.  </w:t>
      </w:r>
    </w:p>
    <w:p w14:paraId="18D60B3B" w14:textId="77777777" w:rsidR="009A0F55" w:rsidRDefault="009F7119">
      <w:pPr>
        <w:pStyle w:val="Answer2"/>
      </w:pPr>
      <w:r>
        <w:t xml:space="preserve">OCAPS will be constructed on property owned by </w:t>
      </w:r>
      <w:proofErr w:type="spellStart"/>
      <w:r>
        <w:t>ETI</w:t>
      </w:r>
      <w:proofErr w:type="spellEnd"/>
      <w:r>
        <w:t xml:space="preserve"> in Bridge City, Texas, adjacent to </w:t>
      </w:r>
      <w:proofErr w:type="spellStart"/>
      <w:r>
        <w:t>ETI’s</w:t>
      </w:r>
      <w:proofErr w:type="spellEnd"/>
      <w:r>
        <w:t xml:space="preserve"> existing Sabine facility in Orange County.  The Project is expected to enter service in or before the first half of 2026.  The Project site has access to water and the necessary utility infrastructure (</w:t>
      </w:r>
      <w:r>
        <w:rPr>
          <w:i/>
        </w:rPr>
        <w:t>e.g.</w:t>
      </w:r>
      <w:r>
        <w:t xml:space="preserve">, transmission facilities, water intake structure, and gas pipeline infrastructure), is located in </w:t>
      </w:r>
      <w:proofErr w:type="spellStart"/>
      <w:r>
        <w:t>ETI’s</w:t>
      </w:r>
      <w:proofErr w:type="spellEnd"/>
      <w:r>
        <w:t xml:space="preserve"> Eastern Region,</w:t>
      </w:r>
      <w:r>
        <w:rPr>
          <w:rStyle w:val="FootnoteReference"/>
        </w:rPr>
        <w:footnoteReference w:id="6"/>
      </w:r>
      <w:r>
        <w:t xml:space="preserve"> and has the physical space to accommodate a new </w:t>
      </w:r>
      <w:proofErr w:type="spellStart"/>
      <w:r>
        <w:t>CCCT</w:t>
      </w:r>
      <w:proofErr w:type="spellEnd"/>
      <w:r>
        <w:t xml:space="preserve">.  Importantly, the dual fuel Project site is also well-positioned to take advantage of local hydrogen infrastructure and the fuel storage capabilities of </w:t>
      </w:r>
      <w:proofErr w:type="spellStart"/>
      <w:r>
        <w:t>ETI’s</w:t>
      </w:r>
      <w:proofErr w:type="spellEnd"/>
      <w:r>
        <w:t xml:space="preserve"> </w:t>
      </w:r>
      <w:proofErr w:type="spellStart"/>
      <w:r>
        <w:t>Spindletop</w:t>
      </w:r>
      <w:proofErr w:type="spellEnd"/>
      <w:r>
        <w:t xml:space="preserve"> salt cavern storage facility.  Figures 1 and 2 below depict the proposed location of OCAPS.</w:t>
      </w:r>
    </w:p>
    <w:p w14:paraId="18D60B3C" w14:textId="77777777" w:rsidR="009A0F55" w:rsidRDefault="009F7119">
      <w:pPr>
        <w:pStyle w:val="Title"/>
      </w:pPr>
      <w:r>
        <w:lastRenderedPageBreak/>
        <w:t>Figure 1: Location</w:t>
      </w:r>
      <w:r>
        <w:rPr>
          <w:bCs/>
        </w:rPr>
        <w:t xml:space="preserve"> of OCAPS</w:t>
      </w:r>
    </w:p>
    <w:p w14:paraId="18D60B3D" w14:textId="77777777" w:rsidR="009A0F55" w:rsidRDefault="009F7119">
      <w:pPr>
        <w:keepNext/>
        <w:spacing w:line="480" w:lineRule="auto"/>
        <w:jc w:val="center"/>
        <w:rPr>
          <w:noProof/>
        </w:rPr>
      </w:pPr>
      <w:r>
        <w:rPr>
          <w:rFonts w:ascii="Calibri" w:hAnsi="Calibri" w:cs="Calibri"/>
          <w:noProof/>
          <w:sz w:val="22"/>
          <w:szCs w:val="22"/>
        </w:rPr>
        <w:drawing>
          <wp:inline distT="0" distB="0" distL="0" distR="0" wp14:anchorId="18D60B97" wp14:editId="18D60B98">
            <wp:extent cx="4771070" cy="2868719"/>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7"/>
                    <a:stretch>
                      <a:fillRect/>
                    </a:stretch>
                  </pic:blipFill>
                  <pic:spPr bwMode="auto">
                    <a:xfrm>
                      <a:off x="0" y="0"/>
                      <a:ext cx="4771070" cy="2868719"/>
                    </a:xfrm>
                    <a:prstGeom prst="rect">
                      <a:avLst/>
                    </a:prstGeom>
                    <a:noFill/>
                    <a:ln>
                      <a:noFill/>
                    </a:ln>
                  </pic:spPr>
                </pic:pic>
              </a:graphicData>
            </a:graphic>
          </wp:inline>
        </w:drawing>
      </w:r>
    </w:p>
    <w:p w14:paraId="18D60B3E" w14:textId="77777777" w:rsidR="009A0F55" w:rsidRDefault="009F7119">
      <w:pPr>
        <w:keepNext/>
        <w:suppressLineNumbers/>
        <w:spacing w:line="480" w:lineRule="auto"/>
        <w:jc w:val="center"/>
        <w:rPr>
          <w:noProof/>
        </w:rPr>
      </w:pPr>
      <w:r>
        <w:rPr>
          <w:rFonts w:ascii="Calibri" w:hAnsi="Calibri" w:cs="Calibri"/>
          <w:noProof/>
          <w:sz w:val="22"/>
          <w:szCs w:val="22"/>
        </w:rPr>
        <w:drawing>
          <wp:inline distT="0" distB="0" distL="0" distR="0" wp14:anchorId="18D60B99" wp14:editId="18D60B9A">
            <wp:extent cx="4819650" cy="3447817"/>
            <wp:effectExtent l="0" t="0" r="0" b="635"/>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p&#10;&#10;Description automatically generated"/>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a:stretch/>
                  </pic:blipFill>
                  <pic:spPr bwMode="auto">
                    <a:xfrm>
                      <a:off x="0" y="0"/>
                      <a:ext cx="4844172" cy="3465359"/>
                    </a:xfrm>
                    <a:prstGeom prst="rect">
                      <a:avLst/>
                    </a:prstGeom>
                    <a:noFill/>
                    <a:ln>
                      <a:noFill/>
                    </a:ln>
                    <a:extLst>
                      <a:ext uri="{53640926-AAD7-44D8-BBD7-CCE9431645EC}">
                        <a14:shadowObscured xmlns:a14="http://schemas.microsoft.com/office/drawing/2010/main"/>
                      </a:ext>
                    </a:extLst>
                  </pic:spPr>
                </pic:pic>
              </a:graphicData>
            </a:graphic>
          </wp:inline>
        </w:drawing>
      </w:r>
    </w:p>
    <w:p w14:paraId="18D60B3F" w14:textId="77777777" w:rsidR="009A0F55" w:rsidRDefault="009A0F55">
      <w:pPr>
        <w:suppressLineNumbers/>
        <w:spacing w:line="480" w:lineRule="auto"/>
        <w:rPr>
          <w:noProof/>
        </w:rPr>
      </w:pPr>
    </w:p>
    <w:p w14:paraId="18D60B40" w14:textId="77777777" w:rsidR="009A0F55" w:rsidRDefault="009F7119">
      <w:pPr>
        <w:pStyle w:val="Title"/>
      </w:pPr>
      <w:r>
        <w:lastRenderedPageBreak/>
        <w:t xml:space="preserve">Figure 2: Rendering of </w:t>
      </w:r>
      <w:r>
        <w:rPr>
          <w:bCs/>
        </w:rPr>
        <w:t>OCAPS</w:t>
      </w:r>
      <w:r>
        <w:t xml:space="preserve"> Adjacent to Existing Sabine Facility</w:t>
      </w:r>
    </w:p>
    <w:p w14:paraId="18D60B41" w14:textId="77777777" w:rsidR="009A0F55" w:rsidRDefault="009F7119">
      <w:pPr>
        <w:keepNext/>
        <w:keepLines/>
        <w:suppressLineNumbers/>
        <w:spacing w:line="480" w:lineRule="auto"/>
        <w:ind w:left="720" w:hanging="720"/>
        <w:jc w:val="center"/>
        <w:rPr>
          <w:rFonts w:ascii="Arial" w:hAnsi="Arial" w:cs="Arial"/>
          <w:noProof/>
          <w:color w:val="666666"/>
          <w:sz w:val="21"/>
          <w:szCs w:val="21"/>
        </w:rPr>
      </w:pPr>
      <w:r>
        <w:rPr>
          <w:rFonts w:ascii="Calibri" w:hAnsi="Calibri" w:cs="Calibri"/>
          <w:noProof/>
          <w:sz w:val="22"/>
          <w:szCs w:val="22"/>
        </w:rPr>
        <w:drawing>
          <wp:inline distT="0" distB="0" distL="0" distR="0" wp14:anchorId="18D60B9B" wp14:editId="18D60B9C">
            <wp:extent cx="4794250" cy="3346450"/>
            <wp:effectExtent l="0" t="0" r="6350" b="6350"/>
            <wp:docPr id="6" name="Picture 6" descr="cid:image009.jpg@01D77E18.13CDF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9.jpg@01D77E18.13CDFAA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a:stretch/>
                  </pic:blipFill>
                  <pic:spPr bwMode="auto">
                    <a:xfrm>
                      <a:off x="0" y="0"/>
                      <a:ext cx="4797152" cy="3348476"/>
                    </a:xfrm>
                    <a:prstGeom prst="rect">
                      <a:avLst/>
                    </a:prstGeom>
                    <a:noFill/>
                    <a:ln>
                      <a:noFill/>
                    </a:ln>
                    <a:extLst>
                      <a:ext uri="{53640926-AAD7-44D8-BBD7-CCE9431645EC}">
                        <a14:shadowObscured xmlns:a14="http://schemas.microsoft.com/office/drawing/2010/main"/>
                      </a:ext>
                    </a:extLst>
                  </pic:spPr>
                </pic:pic>
              </a:graphicData>
            </a:graphic>
          </wp:inline>
        </w:drawing>
      </w:r>
    </w:p>
    <w:p w14:paraId="18D60B42" w14:textId="77777777" w:rsidR="009A0F55" w:rsidRDefault="009F7119">
      <w:pPr>
        <w:pStyle w:val="QUESTION"/>
        <w:spacing w:before="240"/>
      </w:pPr>
      <w:r>
        <w:t xml:space="preserve">please EXPLAIN the significance of this application for </w:t>
      </w:r>
      <w:proofErr w:type="spellStart"/>
      <w:r>
        <w:t>eti</w:t>
      </w:r>
      <w:proofErr w:type="spellEnd"/>
      <w:r>
        <w:t xml:space="preserve"> AND ITS CUSTOMERS.</w:t>
      </w:r>
    </w:p>
    <w:p w14:paraId="18D60B43" w14:textId="1E7CB5F8" w:rsidR="009A0F55" w:rsidRDefault="009F7119">
      <w:pPr>
        <w:pStyle w:val="Answer"/>
      </w:pPr>
      <w:r>
        <w:t>A.</w:t>
      </w:r>
      <w:r>
        <w:tab/>
        <w:t xml:space="preserve">The Project is a </w:t>
      </w:r>
      <w:r w:rsidR="00404C97">
        <w:t>key</w:t>
      </w:r>
      <w:r>
        <w:t xml:space="preserve"> component of the Company’s commitment to its customers and Texas, and is pivotal for </w:t>
      </w:r>
      <w:proofErr w:type="spellStart"/>
      <w:r>
        <w:t>ETI</w:t>
      </w:r>
      <w:proofErr w:type="spellEnd"/>
      <w:r>
        <w:t xml:space="preserve"> as it represents the Company’s second major investment in a modern, efficient </w:t>
      </w:r>
      <w:proofErr w:type="spellStart"/>
      <w:r>
        <w:t>CCCT</w:t>
      </w:r>
      <w:proofErr w:type="spellEnd"/>
      <w:r>
        <w:t xml:space="preserve"> project in the state.  </w:t>
      </w:r>
      <w:proofErr w:type="spellStart"/>
      <w:r>
        <w:t>ETI</w:t>
      </w:r>
      <w:proofErr w:type="spellEnd"/>
      <w:r>
        <w:t xml:space="preserve"> has an obligation to make investments that ensure its ability to provide reliable, sustainable, and affordable service to its customers across a range of future conditions.  Although </w:t>
      </w:r>
      <w:proofErr w:type="spellStart"/>
      <w:r>
        <w:t>ETI</w:t>
      </w:r>
      <w:proofErr w:type="spellEnd"/>
      <w:r>
        <w:t xml:space="preserve"> has invested over $1 billion in transmission upgrades in the last five years,</w:t>
      </w:r>
      <w:r>
        <w:rPr>
          <w:rStyle w:val="FootnoteReference"/>
        </w:rPr>
        <w:t xml:space="preserve"> </w:t>
      </w:r>
      <w:r>
        <w:t xml:space="preserve"> the Company’s and its customers’ resource needs require a long-term commitment to additional generation in this region.  This is primarily due to the fact that a substantial portion of </w:t>
      </w:r>
      <w:proofErr w:type="spellStart"/>
      <w:r>
        <w:t>ETI’s</w:t>
      </w:r>
      <w:proofErr w:type="spellEnd"/>
      <w:r>
        <w:t xml:space="preserve"> generation fleet is expected to be removed from service during the planning horizon at </w:t>
      </w:r>
      <w:r>
        <w:lastRenderedPageBreak/>
        <w:t xml:space="preserve">the same time </w:t>
      </w:r>
      <w:proofErr w:type="spellStart"/>
      <w:r>
        <w:t>ETI’s</w:t>
      </w:r>
      <w:proofErr w:type="spellEnd"/>
      <w:r>
        <w:t xml:space="preserve"> customer load is growing.  The area of Southeast Texas in which OCAPS would be located is already home to many large industrial customers who depend on highly reliable electricity service and whose usage requires significant levels of reactive power to support the heavy machinery and mechanical processes they use.  And more large industrial projects are planned to be located in this area.  With the Sabine units reaching the end of their useful lives, a new resource capable of meeting the needs of these customers, whose business operations are critical to the economy of Southeast Texas and the nation, is essential.  At an estimated cost of $1.19 billion, OCAPS is expected to provide a projected $1.85 billion in net benefits to customers on a net present value basis over and above its cost, while at the same time modernizing </w:t>
      </w:r>
      <w:proofErr w:type="spellStart"/>
      <w:r>
        <w:t>ETI’s</w:t>
      </w:r>
      <w:proofErr w:type="spellEnd"/>
      <w:r>
        <w:t xml:space="preserve"> aging generation fleet with efficient, reliable, and </w:t>
      </w:r>
      <w:proofErr w:type="spellStart"/>
      <w:r>
        <w:t>dispatchable</w:t>
      </w:r>
      <w:proofErr w:type="spellEnd"/>
      <w:r>
        <w:t xml:space="preserve"> clean combined-cycle capacity.  Importantly, the Project also protects </w:t>
      </w:r>
      <w:proofErr w:type="spellStart"/>
      <w:r>
        <w:t>ETI</w:t>
      </w:r>
      <w:proofErr w:type="spellEnd"/>
      <w:r>
        <w:t xml:space="preserve"> customers and ensures they are well positioned for a wide range of future market and federal policy conditions.</w:t>
      </w:r>
    </w:p>
    <w:p w14:paraId="18D60B44" w14:textId="77777777" w:rsidR="009A0F55" w:rsidRDefault="009A0F55">
      <w:pPr>
        <w:pStyle w:val="Answer"/>
      </w:pPr>
    </w:p>
    <w:p w14:paraId="18D60B45" w14:textId="77777777" w:rsidR="009A0F55" w:rsidRDefault="009F7119">
      <w:pPr>
        <w:pStyle w:val="QUESTION"/>
      </w:pPr>
      <w:r>
        <w:t>PLEASE DISCUSS THE ROLES OF THE OTHER company WITNESSES PROVIDING DIRECT TESTIMONY IN support of THIS APPLICATION.</w:t>
      </w:r>
    </w:p>
    <w:p w14:paraId="18D60B46" w14:textId="77777777" w:rsidR="009A0F55" w:rsidRDefault="009F7119">
      <w:pPr>
        <w:pStyle w:val="Answer"/>
      </w:pPr>
      <w:r>
        <w:rPr>
          <w:szCs w:val="20"/>
        </w:rPr>
        <w:t>A.</w:t>
      </w:r>
      <w:r>
        <w:rPr>
          <w:szCs w:val="20"/>
        </w:rPr>
        <w:tab/>
      </w:r>
      <w:r>
        <w:t xml:space="preserve">The following is a brief summary of the </w:t>
      </w:r>
      <w:proofErr w:type="spellStart"/>
      <w:r>
        <w:t>ETI</w:t>
      </w:r>
      <w:proofErr w:type="spellEnd"/>
      <w:r>
        <w:t xml:space="preserve"> witnesses and their respective testimony:</w:t>
      </w:r>
    </w:p>
    <w:p w14:paraId="18D60B47" w14:textId="77777777" w:rsidR="009A0F55" w:rsidRDefault="009F7119">
      <w:pPr>
        <w:pStyle w:val="ListParagraph"/>
        <w:numPr>
          <w:ilvl w:val="0"/>
          <w:numId w:val="18"/>
        </w:numPr>
        <w:spacing w:after="240"/>
        <w:ind w:left="1080"/>
        <w:contextualSpacing w:val="0"/>
        <w:jc w:val="both"/>
        <w:rPr>
          <w:u w:val="single"/>
        </w:rPr>
      </w:pPr>
      <w:r>
        <w:rPr>
          <w:b/>
          <w:bCs/>
          <w:u w:val="single"/>
        </w:rPr>
        <w:t>Abigail B. Weaver</w:t>
      </w:r>
      <w:r>
        <w:t xml:space="preserve"> </w:t>
      </w:r>
      <w:r>
        <w:rPr>
          <w:b/>
          <w:bCs/>
        </w:rPr>
        <w:t xml:space="preserve">– </w:t>
      </w:r>
      <w:r>
        <w:t xml:space="preserve">Ms. Weaver is Director of Resource Planning &amp; Market Operations for </w:t>
      </w:r>
      <w:proofErr w:type="spellStart"/>
      <w:r>
        <w:t>ETI</w:t>
      </w:r>
      <w:proofErr w:type="spellEnd"/>
      <w:r>
        <w:t xml:space="preserve">.  Ms. Weaver addresses </w:t>
      </w:r>
      <w:proofErr w:type="spellStart"/>
      <w:r>
        <w:t>ETI’s</w:t>
      </w:r>
      <w:proofErr w:type="spellEnd"/>
      <w:r>
        <w:t xml:space="preserve"> long-term resource planning process, the Company’s identified need for reliable and efficient long-term capacity and energy, and the selection of the location for OCAPS at </w:t>
      </w:r>
      <w:proofErr w:type="spellStart"/>
      <w:r>
        <w:t>ETI’s</w:t>
      </w:r>
      <w:proofErr w:type="spellEnd"/>
      <w:r>
        <w:t xml:space="preserve"> Sabine plant site.</w:t>
      </w:r>
    </w:p>
    <w:p w14:paraId="18D60B48" w14:textId="77777777" w:rsidR="009A0F55" w:rsidRDefault="009F7119">
      <w:pPr>
        <w:pStyle w:val="ListParagraph"/>
        <w:numPr>
          <w:ilvl w:val="0"/>
          <w:numId w:val="18"/>
        </w:numPr>
        <w:spacing w:after="240"/>
        <w:ind w:left="1080"/>
        <w:contextualSpacing w:val="0"/>
        <w:jc w:val="both"/>
        <w:rPr>
          <w:u w:val="single"/>
        </w:rPr>
      </w:pPr>
      <w:r>
        <w:rPr>
          <w:b/>
          <w:bCs/>
          <w:u w:val="single"/>
        </w:rPr>
        <w:t>Daniel Kline</w:t>
      </w:r>
      <w:r>
        <w:rPr>
          <w:b/>
          <w:bCs/>
        </w:rPr>
        <w:t xml:space="preserve"> – </w:t>
      </w:r>
      <w:r>
        <w:t xml:space="preserve">Mr. Kline is Director of Transmission Planning for ESL.  Mr. Kline addresses the transmission characteristics of </w:t>
      </w:r>
      <w:proofErr w:type="spellStart"/>
      <w:r>
        <w:t>ETI’s</w:t>
      </w:r>
      <w:proofErr w:type="spellEnd"/>
      <w:r>
        <w:t xml:space="preserve"> Eastern Region and explains why new generation in the region is the optimal means of maintaining compliance with North American Electric Reliability Corporation and regional reliability planning standards.  Mr. Kline also discusses the costs and scopes of the various categories of transmission upgrades that are expected to be required for OCAPS, </w:t>
      </w:r>
      <w:r>
        <w:lastRenderedPageBreak/>
        <w:t>and the process by which identification of those upgrades will be finalized by MISO.</w:t>
      </w:r>
    </w:p>
    <w:p w14:paraId="18D60B49" w14:textId="77777777" w:rsidR="009A0F55" w:rsidRDefault="009F7119">
      <w:pPr>
        <w:pStyle w:val="ListParagraph"/>
        <w:numPr>
          <w:ilvl w:val="0"/>
          <w:numId w:val="18"/>
        </w:numPr>
        <w:spacing w:after="240"/>
        <w:ind w:left="1080"/>
        <w:contextualSpacing w:val="0"/>
        <w:jc w:val="both"/>
        <w:rPr>
          <w:u w:val="single"/>
        </w:rPr>
      </w:pPr>
      <w:r>
        <w:rPr>
          <w:b/>
          <w:bCs/>
          <w:u w:val="single"/>
        </w:rPr>
        <w:t>Ryan Magee</w:t>
      </w:r>
      <w:r>
        <w:t xml:space="preserve"> </w:t>
      </w:r>
      <w:r>
        <w:rPr>
          <w:b/>
          <w:bCs/>
        </w:rPr>
        <w:t xml:space="preserve">– </w:t>
      </w:r>
      <w:r>
        <w:t xml:space="preserve">Mr. Magee is Manager, Industrial Accounts for </w:t>
      </w:r>
      <w:proofErr w:type="spellStart"/>
      <w:r>
        <w:t>ETI</w:t>
      </w:r>
      <w:proofErr w:type="spellEnd"/>
      <w:r>
        <w:t xml:space="preserve">.  Mr. Magee explains the Economic Development Pipeline, a tool used to develop the large industrial component of </w:t>
      </w:r>
      <w:proofErr w:type="spellStart"/>
      <w:r>
        <w:t>ETI’s</w:t>
      </w:r>
      <w:proofErr w:type="spellEnd"/>
      <w:r>
        <w:t xml:space="preserve"> sales forecast, which forecast contemplates significant additions of industrial load in </w:t>
      </w:r>
      <w:proofErr w:type="spellStart"/>
      <w:r>
        <w:t>ETI’s</w:t>
      </w:r>
      <w:proofErr w:type="spellEnd"/>
      <w:r>
        <w:t xml:space="preserve"> Eastern Region.  Mr. Magee also explains that OCAPS will promote significant regional economic benefits in Southeast Texas both during construction and over the life of the unit. </w:t>
      </w:r>
    </w:p>
    <w:p w14:paraId="18D60B4A" w14:textId="77777777" w:rsidR="009A0F55" w:rsidRDefault="009F7119">
      <w:pPr>
        <w:pStyle w:val="ListParagraph"/>
        <w:numPr>
          <w:ilvl w:val="0"/>
          <w:numId w:val="18"/>
        </w:numPr>
        <w:spacing w:after="240"/>
        <w:ind w:left="1080"/>
        <w:contextualSpacing w:val="0"/>
        <w:jc w:val="both"/>
        <w:rPr>
          <w:u w:val="single"/>
        </w:rPr>
      </w:pPr>
      <w:proofErr w:type="spellStart"/>
      <w:r>
        <w:rPr>
          <w:b/>
          <w:bCs/>
          <w:u w:val="single"/>
        </w:rPr>
        <w:t>Phong</w:t>
      </w:r>
      <w:proofErr w:type="spellEnd"/>
      <w:r>
        <w:rPr>
          <w:b/>
          <w:bCs/>
          <w:u w:val="single"/>
        </w:rPr>
        <w:t xml:space="preserve"> D. Nguyen</w:t>
      </w:r>
      <w:r>
        <w:t xml:space="preserve"> </w:t>
      </w:r>
      <w:r>
        <w:rPr>
          <w:b/>
          <w:bCs/>
        </w:rPr>
        <w:t xml:space="preserve">– </w:t>
      </w:r>
      <w:r>
        <w:t xml:space="preserve">Mr. Nguyen is Director, Advanced Economic Planning for ESL.  Mr. Nguyen (1) provides an overview of the 2020 </w:t>
      </w:r>
      <w:proofErr w:type="spellStart"/>
      <w:r>
        <w:t>ETI</w:t>
      </w:r>
      <w:proofErr w:type="spellEnd"/>
      <w:r>
        <w:t xml:space="preserve"> Request for Proposals (“RFP”); (2) explains the economic evaluation of OCAPS as part of the RFP, and the results of that evaluation; (3) describes the recommended selection of OCAPS from the RFP; and (4) describes the updated economic analysis of OCAPS, and the results of that analysis.  Mr. Nguyen also supports the calculation of $1.85 billion in projected net benefits to </w:t>
      </w:r>
      <w:proofErr w:type="spellStart"/>
      <w:r>
        <w:t>ETI’s</w:t>
      </w:r>
      <w:proofErr w:type="spellEnd"/>
      <w:r>
        <w:t xml:space="preserve"> customers expected from constructing OCAPS at an estimated total Project cost of $1.19 billion.</w:t>
      </w:r>
    </w:p>
    <w:p w14:paraId="18D60B4B" w14:textId="77777777" w:rsidR="009A0F55" w:rsidRDefault="009F7119">
      <w:pPr>
        <w:pStyle w:val="ListParagraph"/>
        <w:numPr>
          <w:ilvl w:val="0"/>
          <w:numId w:val="18"/>
        </w:numPr>
        <w:spacing w:after="240"/>
        <w:ind w:left="1080"/>
        <w:contextualSpacing w:val="0"/>
        <w:jc w:val="both"/>
        <w:rPr>
          <w:u w:val="single"/>
        </w:rPr>
      </w:pPr>
      <w:r>
        <w:rPr>
          <w:b/>
          <w:bCs/>
          <w:u w:val="single"/>
        </w:rPr>
        <w:t>Carlos Ruiz</w:t>
      </w:r>
      <w:r>
        <w:t xml:space="preserve"> </w:t>
      </w:r>
      <w:r>
        <w:rPr>
          <w:b/>
          <w:bCs/>
        </w:rPr>
        <w:t xml:space="preserve">– </w:t>
      </w:r>
      <w:r>
        <w:t>Mr. Ruiz is Director, Capital Projects for ESL.</w:t>
      </w:r>
      <w:r>
        <w:rPr>
          <w:b/>
          <w:bCs/>
        </w:rPr>
        <w:t xml:space="preserve">  </w:t>
      </w:r>
      <w:r>
        <w:t xml:space="preserve">Mr. Ruiz describes (1) the OCAPS Project; (2) the submission of OCAPS into the 2020 </w:t>
      </w:r>
      <w:proofErr w:type="spellStart"/>
      <w:r>
        <w:t>ETI</w:t>
      </w:r>
      <w:proofErr w:type="spellEnd"/>
      <w:r>
        <w:t xml:space="preserve"> RFP; (3) the estimated Project cost and schedule; (4) the Project’s estimated non-fuel </w:t>
      </w:r>
      <w:proofErr w:type="spellStart"/>
      <w:r>
        <w:t>O&amp;M</w:t>
      </w:r>
      <w:proofErr w:type="spellEnd"/>
      <w:r>
        <w:t xml:space="preserve"> costs; (5) the project management and contracting approach undertaken for OCAPS; and (6) construction risk management and mitigation associated with the Project.</w:t>
      </w:r>
    </w:p>
    <w:p w14:paraId="18D60B4C" w14:textId="77777777" w:rsidR="009A0F55" w:rsidRDefault="009F7119">
      <w:pPr>
        <w:pStyle w:val="ListParagraph"/>
        <w:numPr>
          <w:ilvl w:val="0"/>
          <w:numId w:val="18"/>
        </w:numPr>
        <w:spacing w:after="240"/>
        <w:ind w:left="1080"/>
        <w:contextualSpacing w:val="0"/>
        <w:jc w:val="both"/>
        <w:rPr>
          <w:u w:val="single"/>
        </w:rPr>
      </w:pPr>
      <w:r>
        <w:rPr>
          <w:b/>
          <w:bCs/>
          <w:u w:val="single"/>
        </w:rPr>
        <w:t>Deborah Saxton</w:t>
      </w:r>
      <w:r>
        <w:rPr>
          <w:b/>
          <w:bCs/>
        </w:rPr>
        <w:t xml:space="preserve"> – </w:t>
      </w:r>
      <w:r>
        <w:t>Ms. Saxton is Environmental Services Manager for ESL.  Ms. Saxton explains that OCAPS will have a manageable and reasonable effect on environmental integrity and discusses key environmental impacts of OCAPS construction on the local community.  Her testimony addresses the factors in Public Utility Regulatory Act (“</w:t>
      </w:r>
      <w:proofErr w:type="spellStart"/>
      <w:r>
        <w:t>PURA</w:t>
      </w:r>
      <w:proofErr w:type="spellEnd"/>
      <w:r>
        <w:t>”) § 37.056(c</w:t>
      </w:r>
      <w:proofErr w:type="gramStart"/>
      <w:r>
        <w:t>)(</w:t>
      </w:r>
      <w:proofErr w:type="gramEnd"/>
      <w:r>
        <w:t>4) and discusses the environmental assessment regarding the site and any necessary permits or approvals for OCAPS.</w:t>
      </w:r>
    </w:p>
    <w:p w14:paraId="18D60B4D" w14:textId="77777777" w:rsidR="009A0F55" w:rsidRDefault="009F7119">
      <w:pPr>
        <w:pStyle w:val="ListParagraph"/>
        <w:numPr>
          <w:ilvl w:val="0"/>
          <w:numId w:val="18"/>
        </w:numPr>
        <w:spacing w:after="240"/>
        <w:ind w:left="1080"/>
        <w:contextualSpacing w:val="0"/>
        <w:jc w:val="both"/>
        <w:rPr>
          <w:u w:val="single"/>
        </w:rPr>
      </w:pPr>
      <w:r>
        <w:rPr>
          <w:b/>
          <w:bCs/>
          <w:u w:val="single"/>
        </w:rPr>
        <w:t>Bobby R. Sperandeo</w:t>
      </w:r>
      <w:r>
        <w:rPr>
          <w:b/>
          <w:bCs/>
        </w:rPr>
        <w:t xml:space="preserve"> – </w:t>
      </w:r>
      <w:r>
        <w:t xml:space="preserve">Mr. Sperandeo is Director, </w:t>
      </w:r>
      <w:proofErr w:type="spellStart"/>
      <w:r>
        <w:t>ETI</w:t>
      </w:r>
      <w:proofErr w:type="spellEnd"/>
      <w:r>
        <w:t xml:space="preserve"> Finance.  Mr. Sperandeo </w:t>
      </w:r>
      <w:r>
        <w:rPr>
          <w:bCs/>
        </w:rPr>
        <w:t xml:space="preserve">summarizes the estimated generation and transmission construction costs associated with OCAPS, the manner in which </w:t>
      </w:r>
      <w:proofErr w:type="spellStart"/>
      <w:r>
        <w:rPr>
          <w:bCs/>
        </w:rPr>
        <w:t>ETI</w:t>
      </w:r>
      <w:proofErr w:type="spellEnd"/>
      <w:r>
        <w:rPr>
          <w:bCs/>
        </w:rPr>
        <w:t xml:space="preserve"> anticipates that the OCAPS project costs will be financed, and the estimated financial impact of the Project on </w:t>
      </w:r>
      <w:proofErr w:type="spellStart"/>
      <w:r>
        <w:rPr>
          <w:bCs/>
        </w:rPr>
        <w:t>ETI</w:t>
      </w:r>
      <w:proofErr w:type="spellEnd"/>
      <w:r>
        <w:rPr>
          <w:bCs/>
        </w:rPr>
        <w:t xml:space="preserve">, during the course of the construction and upon its completion and inclusion in </w:t>
      </w:r>
      <w:proofErr w:type="spellStart"/>
      <w:r>
        <w:rPr>
          <w:bCs/>
        </w:rPr>
        <w:t>ETI’s</w:t>
      </w:r>
      <w:proofErr w:type="spellEnd"/>
      <w:r>
        <w:rPr>
          <w:bCs/>
        </w:rPr>
        <w:t xml:space="preserve"> retail rates.  </w:t>
      </w:r>
    </w:p>
    <w:p w14:paraId="18D60B4E" w14:textId="77777777" w:rsidR="009A0F55" w:rsidRDefault="009F7119">
      <w:pPr>
        <w:pStyle w:val="ListParagraph"/>
        <w:numPr>
          <w:ilvl w:val="0"/>
          <w:numId w:val="18"/>
        </w:numPr>
        <w:spacing w:after="240"/>
        <w:ind w:left="1080"/>
        <w:contextualSpacing w:val="0"/>
        <w:jc w:val="both"/>
        <w:rPr>
          <w:u w:val="single"/>
        </w:rPr>
      </w:pPr>
      <w:r>
        <w:rPr>
          <w:b/>
          <w:bCs/>
          <w:u w:val="single"/>
        </w:rPr>
        <w:t>Allison P. Lofton</w:t>
      </w:r>
      <w:r>
        <w:rPr>
          <w:b/>
          <w:bCs/>
        </w:rPr>
        <w:t xml:space="preserve"> – </w:t>
      </w:r>
      <w:r>
        <w:t xml:space="preserve">Ms. Lofton is Manager of Regulatory Filings for </w:t>
      </w:r>
      <w:proofErr w:type="spellStart"/>
      <w:r>
        <w:t>ETI</w:t>
      </w:r>
      <w:proofErr w:type="spellEnd"/>
      <w:r>
        <w:t xml:space="preserve">.  Ms. Lofton discusses expected revenue requirements and rate impacts of OCAPS at an estimated total Project cost of $1.19 billion. </w:t>
      </w:r>
    </w:p>
    <w:p w14:paraId="18D60B4F" w14:textId="77777777" w:rsidR="009A0F55" w:rsidRDefault="009F7119">
      <w:pPr>
        <w:pStyle w:val="ListParagraph"/>
        <w:numPr>
          <w:ilvl w:val="0"/>
          <w:numId w:val="18"/>
        </w:numPr>
        <w:spacing w:after="240"/>
        <w:ind w:left="1080"/>
        <w:contextualSpacing w:val="0"/>
        <w:jc w:val="both"/>
        <w:rPr>
          <w:u w:val="single"/>
        </w:rPr>
      </w:pPr>
      <w:r>
        <w:rPr>
          <w:b/>
          <w:bCs/>
          <w:u w:val="single"/>
        </w:rPr>
        <w:lastRenderedPageBreak/>
        <w:t>Nick Owens</w:t>
      </w:r>
      <w:r>
        <w:rPr>
          <w:b/>
          <w:bCs/>
        </w:rPr>
        <w:t xml:space="preserve"> – </w:t>
      </w:r>
      <w:r>
        <w:t xml:space="preserve">Mr. Owens is a Partner with </w:t>
      </w:r>
      <w:proofErr w:type="spellStart"/>
      <w:r>
        <w:t>NorthBridge</w:t>
      </w:r>
      <w:proofErr w:type="spellEnd"/>
      <w:r>
        <w:t xml:space="preserve"> Group.  Mr. Owens (1) describes the MISO PRA, and the limited role that it plays in ensuring resource adequacy within MISO; (2) explains the need for Load Serving Entities in MISO to conduct long-term generation planning and to support enough generation to meet their expected capacity needs through ownership and/or bilateral contracts, rather than through reliance on the PRA; (3) explains the reasonableness of </w:t>
      </w:r>
      <w:proofErr w:type="spellStart"/>
      <w:r>
        <w:t>ETI’s</w:t>
      </w:r>
      <w:proofErr w:type="spellEnd"/>
      <w:r>
        <w:t xml:space="preserve"> decision to value OCAPS by comparing it to the cost of an alternative source of real, physical capacity in East Texas, rather than a projection of the PRA price; and (4) explains the basis for </w:t>
      </w:r>
      <w:proofErr w:type="spellStart"/>
      <w:r>
        <w:t>ETI’s</w:t>
      </w:r>
      <w:proofErr w:type="spellEnd"/>
      <w:r>
        <w:t xml:space="preserve"> long-term planning reserve margin target.</w:t>
      </w:r>
    </w:p>
    <w:p w14:paraId="18D60B50" w14:textId="77777777" w:rsidR="009A0F55" w:rsidRDefault="009F7119">
      <w:pPr>
        <w:pStyle w:val="ListParagraph"/>
        <w:numPr>
          <w:ilvl w:val="0"/>
          <w:numId w:val="18"/>
        </w:numPr>
        <w:spacing w:after="240"/>
        <w:ind w:left="1080"/>
        <w:contextualSpacing w:val="0"/>
        <w:jc w:val="both"/>
        <w:rPr>
          <w:u w:val="single"/>
        </w:rPr>
      </w:pPr>
      <w:r>
        <w:rPr>
          <w:b/>
          <w:bCs/>
          <w:u w:val="single"/>
        </w:rPr>
        <w:t xml:space="preserve">Robert </w:t>
      </w:r>
      <w:proofErr w:type="spellStart"/>
      <w:r>
        <w:rPr>
          <w:b/>
          <w:bCs/>
          <w:u w:val="single"/>
        </w:rPr>
        <w:t>Hebner</w:t>
      </w:r>
      <w:proofErr w:type="spellEnd"/>
      <w:r>
        <w:rPr>
          <w:b/>
          <w:bCs/>
          <w:u w:val="single"/>
        </w:rPr>
        <w:t>, Ph.D.</w:t>
      </w:r>
      <w:r>
        <w:t xml:space="preserve"> – Dr. </w:t>
      </w:r>
      <w:proofErr w:type="spellStart"/>
      <w:r>
        <w:t>Hebner</w:t>
      </w:r>
      <w:proofErr w:type="spellEnd"/>
      <w:r>
        <w:t xml:space="preserve"> is a research professor and Director of the Center for </w:t>
      </w:r>
      <w:proofErr w:type="spellStart"/>
      <w:r>
        <w:t>Electromechanics</w:t>
      </w:r>
      <w:proofErr w:type="spellEnd"/>
      <w:r>
        <w:t xml:space="preserve"> at the University of Texas, and is President of Tortuga Real Estate LLC.  </w:t>
      </w:r>
      <w:r>
        <w:rPr>
          <w:rStyle w:val="normaltextrun"/>
          <w:color w:val="000000"/>
          <w:shd w:val="clear" w:color="auto" w:fill="FFFFFF"/>
        </w:rPr>
        <w:t>He provides a technical perspective on the use of hydrogen as a fuel source, its production, and the existing industry infrastructure in the United States and along the Gulf Coast region.  He also discusses current trends regarding utilization of hydrogen in the electric utility industry.  Finally, he addresses how OCAPS will be well-positioned to make use of and enhance the significant existing hydrogen infrastructure that exists in Southeast Texas.</w:t>
      </w:r>
      <w:r>
        <w:rPr>
          <w:rStyle w:val="eop"/>
          <w:color w:val="000000"/>
          <w:shd w:val="clear" w:color="auto" w:fill="FFFFFF"/>
        </w:rPr>
        <w:t> </w:t>
      </w:r>
      <w:r>
        <w:t xml:space="preserve">   </w:t>
      </w:r>
    </w:p>
    <w:p w14:paraId="18D60B51" w14:textId="77777777" w:rsidR="009A0F55" w:rsidRDefault="009F7119">
      <w:pPr>
        <w:pStyle w:val="ListParagraph"/>
        <w:numPr>
          <w:ilvl w:val="0"/>
          <w:numId w:val="18"/>
        </w:numPr>
        <w:spacing w:after="240"/>
        <w:ind w:left="1080"/>
        <w:jc w:val="both"/>
        <w:rPr>
          <w:u w:val="single"/>
        </w:rPr>
      </w:pPr>
      <w:r>
        <w:rPr>
          <w:b/>
          <w:bCs/>
          <w:u w:val="single"/>
        </w:rPr>
        <w:t>Wayne J. Oliver</w:t>
      </w:r>
      <w:r>
        <w:t xml:space="preserve"> </w:t>
      </w:r>
      <w:r>
        <w:rPr>
          <w:b/>
          <w:bCs/>
        </w:rPr>
        <w:t xml:space="preserve">– </w:t>
      </w:r>
      <w:r>
        <w:t xml:space="preserve">Mr. Oliver is a Consultant with Merrimack Energy Group, Inc.  Mr. Oliver was the Independent Monitor for the 2020 </w:t>
      </w:r>
      <w:proofErr w:type="spellStart"/>
      <w:r>
        <w:t>ETI</w:t>
      </w:r>
      <w:proofErr w:type="spellEnd"/>
      <w:r>
        <w:t xml:space="preserve"> RFP, and provides a description of the competitive solicitation process for the RFP and the independent oversight he provided during that process.  Mr. Oliver discusses why the results of the RFP process support the selection of OCAPS.</w:t>
      </w:r>
    </w:p>
    <w:p w14:paraId="18D60B52" w14:textId="77777777" w:rsidR="009A0F55" w:rsidRDefault="009A0F55">
      <w:pPr>
        <w:pStyle w:val="Answer"/>
      </w:pPr>
    </w:p>
    <w:p w14:paraId="18D60B53" w14:textId="77777777" w:rsidR="009A0F55" w:rsidRDefault="009F7119">
      <w:pPr>
        <w:pStyle w:val="QUESTION"/>
      </w:pPr>
      <w:r>
        <w:t xml:space="preserve">what regulatory approvals is </w:t>
      </w:r>
      <w:proofErr w:type="spellStart"/>
      <w:r>
        <w:t>eti</w:t>
      </w:r>
      <w:proofErr w:type="spellEnd"/>
      <w:r>
        <w:t xml:space="preserve"> seeking?</w:t>
      </w:r>
    </w:p>
    <w:p w14:paraId="18D60B54" w14:textId="315DB9C5" w:rsidR="009A0F55" w:rsidRDefault="009F7119">
      <w:pPr>
        <w:pStyle w:val="Answer"/>
      </w:pPr>
      <w:r>
        <w:t>A.</w:t>
      </w:r>
      <w:r>
        <w:tab/>
      </w:r>
      <w:proofErr w:type="spellStart"/>
      <w:r>
        <w:t>ETI</w:t>
      </w:r>
      <w:proofErr w:type="spellEnd"/>
      <w:r>
        <w:t xml:space="preserve"> requests an amendment to its </w:t>
      </w:r>
      <w:proofErr w:type="spellStart"/>
      <w:r>
        <w:t>CCN</w:t>
      </w:r>
      <w:proofErr w:type="spellEnd"/>
      <w:r>
        <w:t xml:space="preserve"> to construct OCAPS.  While I am not an attorney, I understand that approval of this amendment is subject to Chapter 37 of </w:t>
      </w:r>
      <w:proofErr w:type="spellStart"/>
      <w:r>
        <w:t>PURA</w:t>
      </w:r>
      <w:proofErr w:type="spellEnd"/>
      <w:r>
        <w:t xml:space="preserve">, particularly </w:t>
      </w:r>
      <w:proofErr w:type="spellStart"/>
      <w:r>
        <w:t>PURA</w:t>
      </w:r>
      <w:proofErr w:type="spellEnd"/>
      <w:r>
        <w:t xml:space="preserve"> § 37.056.  This section provides that the Commission “may approve an application and grant a certificate only if the commission finds that the certificate is necessary for the service, accommodation, convenience, or safety of the public,”</w:t>
      </w:r>
      <w:r>
        <w:rPr>
          <w:rStyle w:val="FootnoteReference"/>
        </w:rPr>
        <w:footnoteReference w:id="7"/>
      </w:r>
      <w:r>
        <w:t xml:space="preserve"> after considering several factors. </w:t>
      </w:r>
    </w:p>
    <w:p w14:paraId="18D60B55" w14:textId="77777777" w:rsidR="009A0F55" w:rsidRDefault="009A0F55" w:rsidP="003F322B">
      <w:pPr>
        <w:pStyle w:val="Answer"/>
        <w:suppressLineNumbers/>
        <w:ind w:left="0" w:firstLine="0"/>
      </w:pPr>
    </w:p>
    <w:p w14:paraId="18D60B56" w14:textId="77777777" w:rsidR="009A0F55" w:rsidRDefault="009F7119">
      <w:pPr>
        <w:pStyle w:val="QUESTION"/>
      </w:pPr>
      <w:r>
        <w:lastRenderedPageBreak/>
        <w:t xml:space="preserve">what are the factors the commission considers in a </w:t>
      </w:r>
      <w:proofErr w:type="spellStart"/>
      <w:r>
        <w:t>ccn</w:t>
      </w:r>
      <w:proofErr w:type="spellEnd"/>
      <w:r>
        <w:t xml:space="preserve"> proceeding?</w:t>
      </w:r>
    </w:p>
    <w:p w14:paraId="18D60B57" w14:textId="77777777" w:rsidR="009A0F55" w:rsidRDefault="009F7119">
      <w:pPr>
        <w:pStyle w:val="Answer"/>
      </w:pPr>
      <w:r>
        <w:t>A.</w:t>
      </w:r>
      <w:r>
        <w:tab/>
      </w:r>
      <w:proofErr w:type="spellStart"/>
      <w:r>
        <w:t>PURA</w:t>
      </w:r>
      <w:proofErr w:type="spellEnd"/>
      <w:r>
        <w:t xml:space="preserve"> § 37.056 </w:t>
      </w:r>
      <w:proofErr w:type="gramStart"/>
      <w:r>
        <w:t>provides</w:t>
      </w:r>
      <w:proofErr w:type="gramEnd"/>
      <w:r>
        <w:t xml:space="preserve"> that the Commission may grant a </w:t>
      </w:r>
      <w:proofErr w:type="spellStart"/>
      <w:r>
        <w:t>CCN</w:t>
      </w:r>
      <w:proofErr w:type="spellEnd"/>
      <w:r>
        <w:t xml:space="preserve"> (or </w:t>
      </w:r>
      <w:proofErr w:type="spellStart"/>
      <w:r>
        <w:t>CCN</w:t>
      </w:r>
      <w:proofErr w:type="spellEnd"/>
      <w:r>
        <w:t xml:space="preserve"> amendment) after considering:</w:t>
      </w:r>
    </w:p>
    <w:p w14:paraId="18D60B58" w14:textId="77777777" w:rsidR="009A0F55" w:rsidRDefault="009F7119">
      <w:pPr>
        <w:pStyle w:val="Answer"/>
        <w:tabs>
          <w:tab w:val="left" w:pos="2700"/>
        </w:tabs>
        <w:spacing w:after="120" w:line="240" w:lineRule="auto"/>
        <w:ind w:left="2160" w:right="720"/>
      </w:pPr>
      <w:r>
        <w:tab/>
        <w:t>(1)</w:t>
      </w:r>
      <w:r>
        <w:tab/>
      </w:r>
      <w:proofErr w:type="gramStart"/>
      <w:r>
        <w:t>the</w:t>
      </w:r>
      <w:proofErr w:type="gramEnd"/>
      <w:r>
        <w:t xml:space="preserve"> adequacy of existing service;</w:t>
      </w:r>
    </w:p>
    <w:p w14:paraId="18D60B59" w14:textId="77777777" w:rsidR="009A0F55" w:rsidRDefault="009F7119">
      <w:pPr>
        <w:pStyle w:val="Answer"/>
        <w:tabs>
          <w:tab w:val="left" w:pos="2700"/>
        </w:tabs>
        <w:spacing w:after="120" w:line="240" w:lineRule="auto"/>
        <w:ind w:left="2160" w:right="720"/>
      </w:pPr>
      <w:r>
        <w:tab/>
        <w:t>(2)</w:t>
      </w:r>
      <w:r>
        <w:tab/>
      </w:r>
      <w:proofErr w:type="gramStart"/>
      <w:r>
        <w:t>the</w:t>
      </w:r>
      <w:proofErr w:type="gramEnd"/>
      <w:r>
        <w:t xml:space="preserve"> need for additional service;</w:t>
      </w:r>
    </w:p>
    <w:p w14:paraId="18D60B5A" w14:textId="77777777" w:rsidR="009A0F55" w:rsidRDefault="009F7119">
      <w:pPr>
        <w:pStyle w:val="Answer"/>
        <w:tabs>
          <w:tab w:val="left" w:pos="2160"/>
          <w:tab w:val="left" w:pos="2700"/>
        </w:tabs>
        <w:spacing w:after="120" w:line="240" w:lineRule="auto"/>
        <w:ind w:left="2700" w:right="720" w:hanging="1260"/>
      </w:pPr>
      <w:r>
        <w:tab/>
        <w:t>(3)</w:t>
      </w:r>
      <w:r>
        <w:tab/>
      </w:r>
      <w:proofErr w:type="gramStart"/>
      <w:r>
        <w:t>the</w:t>
      </w:r>
      <w:proofErr w:type="gramEnd"/>
      <w:r>
        <w:t xml:space="preserve"> effect of granting the certificate on the recipient of the certificate and any electric utility serving the proximate area; and</w:t>
      </w:r>
    </w:p>
    <w:p w14:paraId="18D60B5B" w14:textId="77777777" w:rsidR="009A0F55" w:rsidRDefault="009F7119">
      <w:pPr>
        <w:pStyle w:val="Answer"/>
        <w:tabs>
          <w:tab w:val="left" w:pos="2700"/>
        </w:tabs>
        <w:spacing w:after="120" w:line="240" w:lineRule="auto"/>
        <w:ind w:left="2160" w:right="720"/>
      </w:pPr>
      <w:r>
        <w:tab/>
        <w:t>(4)</w:t>
      </w:r>
      <w:r>
        <w:tab/>
      </w:r>
      <w:proofErr w:type="gramStart"/>
      <w:r>
        <w:t>other</w:t>
      </w:r>
      <w:proofErr w:type="gramEnd"/>
      <w:r>
        <w:t xml:space="preserve"> factors, such as:</w:t>
      </w:r>
    </w:p>
    <w:p w14:paraId="18D60B5C" w14:textId="77777777" w:rsidR="009A0F55" w:rsidRDefault="009F7119">
      <w:pPr>
        <w:pStyle w:val="Answer"/>
        <w:tabs>
          <w:tab w:val="left" w:pos="2700"/>
          <w:tab w:val="left" w:pos="3240"/>
        </w:tabs>
        <w:spacing w:after="120" w:line="240" w:lineRule="auto"/>
        <w:ind w:left="2160" w:right="720"/>
      </w:pPr>
      <w:r>
        <w:tab/>
      </w:r>
      <w:r>
        <w:tab/>
        <w:t>(A)</w:t>
      </w:r>
      <w:r>
        <w:tab/>
      </w:r>
      <w:proofErr w:type="gramStart"/>
      <w:r>
        <w:t>community</w:t>
      </w:r>
      <w:proofErr w:type="gramEnd"/>
      <w:r>
        <w:t xml:space="preserve"> values;</w:t>
      </w:r>
    </w:p>
    <w:p w14:paraId="18D60B5D" w14:textId="77777777" w:rsidR="009A0F55" w:rsidRDefault="009F7119">
      <w:pPr>
        <w:pStyle w:val="Answer"/>
        <w:tabs>
          <w:tab w:val="left" w:pos="2700"/>
          <w:tab w:val="left" w:pos="3240"/>
        </w:tabs>
        <w:spacing w:after="120" w:line="240" w:lineRule="auto"/>
        <w:ind w:left="2160" w:right="720"/>
      </w:pPr>
      <w:r>
        <w:tab/>
      </w:r>
      <w:r>
        <w:tab/>
        <w:t>(B)</w:t>
      </w:r>
      <w:r>
        <w:tab/>
      </w:r>
      <w:proofErr w:type="gramStart"/>
      <w:r>
        <w:t>recreational</w:t>
      </w:r>
      <w:proofErr w:type="gramEnd"/>
      <w:r>
        <w:t xml:space="preserve"> and park areas;</w:t>
      </w:r>
    </w:p>
    <w:p w14:paraId="18D60B5E" w14:textId="77777777" w:rsidR="009A0F55" w:rsidRDefault="009F7119">
      <w:pPr>
        <w:pStyle w:val="Answer"/>
        <w:tabs>
          <w:tab w:val="left" w:pos="2700"/>
          <w:tab w:val="left" w:pos="3240"/>
        </w:tabs>
        <w:spacing w:after="120" w:line="240" w:lineRule="auto"/>
        <w:ind w:left="2160" w:right="720"/>
      </w:pPr>
      <w:r>
        <w:tab/>
      </w:r>
      <w:r>
        <w:tab/>
        <w:t>(C)</w:t>
      </w:r>
      <w:r>
        <w:tab/>
      </w:r>
      <w:proofErr w:type="gramStart"/>
      <w:r>
        <w:t>historical</w:t>
      </w:r>
      <w:proofErr w:type="gramEnd"/>
      <w:r>
        <w:t xml:space="preserve"> and aesthetic values;</w:t>
      </w:r>
    </w:p>
    <w:p w14:paraId="18D60B5F" w14:textId="77777777" w:rsidR="009A0F55" w:rsidRDefault="009F7119">
      <w:pPr>
        <w:pStyle w:val="Answer"/>
        <w:tabs>
          <w:tab w:val="left" w:pos="2700"/>
          <w:tab w:val="left" w:pos="3240"/>
        </w:tabs>
        <w:spacing w:after="120" w:line="240" w:lineRule="auto"/>
        <w:ind w:left="2160" w:right="720"/>
      </w:pPr>
      <w:r>
        <w:tab/>
      </w:r>
      <w:r>
        <w:tab/>
        <w:t>(D)</w:t>
      </w:r>
      <w:r>
        <w:tab/>
      </w:r>
      <w:proofErr w:type="gramStart"/>
      <w:r>
        <w:t>environmental</w:t>
      </w:r>
      <w:proofErr w:type="gramEnd"/>
      <w:r>
        <w:t xml:space="preserve"> integrity; and</w:t>
      </w:r>
    </w:p>
    <w:p w14:paraId="18D60B60" w14:textId="77777777" w:rsidR="009A0F55" w:rsidRDefault="009F7119">
      <w:pPr>
        <w:pStyle w:val="Answer"/>
        <w:tabs>
          <w:tab w:val="left" w:pos="2700"/>
          <w:tab w:val="left" w:pos="3240"/>
        </w:tabs>
        <w:spacing w:after="120" w:line="240" w:lineRule="auto"/>
        <w:ind w:left="3240" w:right="720" w:hanging="1260"/>
      </w:pPr>
      <w:r>
        <w:tab/>
        <w:t>(E)</w:t>
      </w:r>
      <w:r>
        <w:tab/>
        <w:t xml:space="preserve">the probable improvement of service or lowering of costs to consumers in the area if the certificate is granted, including any potential economic or reliability benefits associated with dual fuel and fuel storage capabilities in areas outside the </w:t>
      </w:r>
      <w:proofErr w:type="spellStart"/>
      <w:r>
        <w:t>ERCOT</w:t>
      </w:r>
      <w:proofErr w:type="spellEnd"/>
      <w:r>
        <w:t xml:space="preserve"> region . . . .</w:t>
      </w:r>
      <w:r>
        <w:rPr>
          <w:rStyle w:val="FootnoteReference"/>
        </w:rPr>
        <w:footnoteReference w:id="8"/>
      </w:r>
    </w:p>
    <w:p w14:paraId="18D60B61" w14:textId="77777777" w:rsidR="009A0F55" w:rsidRDefault="009A0F55">
      <w:pPr>
        <w:pStyle w:val="Answer"/>
        <w:spacing w:after="120" w:line="240" w:lineRule="auto"/>
        <w:ind w:right="720"/>
      </w:pPr>
    </w:p>
    <w:p w14:paraId="18D60B62" w14:textId="77777777" w:rsidR="009A0F55" w:rsidRDefault="009F7119">
      <w:pPr>
        <w:pStyle w:val="QUESTION"/>
      </w:pPr>
      <w:r>
        <w:t xml:space="preserve">does </w:t>
      </w:r>
      <w:proofErr w:type="spellStart"/>
      <w:r>
        <w:t>eti’s</w:t>
      </w:r>
      <w:proofErr w:type="spellEnd"/>
      <w:r>
        <w:t xml:space="preserve"> construction of OCAPS satisfy these factors?</w:t>
      </w:r>
    </w:p>
    <w:p w14:paraId="18D60B63" w14:textId="77777777" w:rsidR="009A0F55" w:rsidRDefault="009F7119">
      <w:pPr>
        <w:pStyle w:val="Answer"/>
      </w:pPr>
      <w:r>
        <w:t>A.</w:t>
      </w:r>
      <w:r>
        <w:tab/>
        <w:t xml:space="preserve">Yes.  I provide a summary of the Project’s benefits below, and the </w:t>
      </w:r>
      <w:proofErr w:type="spellStart"/>
      <w:r>
        <w:t>ETI</w:t>
      </w:r>
      <w:proofErr w:type="spellEnd"/>
      <w:r>
        <w:t xml:space="preserve"> witnesses I introduce above address these benefits (and associated costs) in greater detail.  With regard to the specific </w:t>
      </w:r>
      <w:proofErr w:type="spellStart"/>
      <w:r>
        <w:t>CCN</w:t>
      </w:r>
      <w:proofErr w:type="spellEnd"/>
      <w:r>
        <w:t xml:space="preserve"> factors, Ms. Weaver, Mr. Magee, Mr. Nguyen, and Mr. Kline provide testimony on the “adequacy of existing service,” “the need for additional service,” and “the effect of granting the certificate on” </w:t>
      </w:r>
      <w:proofErr w:type="spellStart"/>
      <w:r>
        <w:t>ETI</w:t>
      </w:r>
      <w:proofErr w:type="spellEnd"/>
      <w:r>
        <w:t xml:space="preserve">.  These witnesses </w:t>
      </w:r>
      <w:r>
        <w:lastRenderedPageBreak/>
        <w:t xml:space="preserve">also address “the probable improvement of service or lowering of cost to consumers in the area if the certificate is granted.”  Ms. Saxton provides testimony on community values, recreational and park areas, historical and aesthetic values, environmental integrity, and utilities serving the proximate area.  Ms. Lofton, Mr. Ruiz, Mr. Kline, Mr. Sperandeo, and Mr. Nguyen address issues related to cost.  As I discuss above, OCAPS will be well-suited to advance the dual fuel and fuel storage policy reflected in the recent amendments to the statutory </w:t>
      </w:r>
      <w:proofErr w:type="spellStart"/>
      <w:r>
        <w:t>CCN</w:t>
      </w:r>
      <w:proofErr w:type="spellEnd"/>
      <w:r>
        <w:t xml:space="preserve"> factors.  And Mr. Oliver, Mr. Owens, and Dr. </w:t>
      </w:r>
      <w:proofErr w:type="spellStart"/>
      <w:r>
        <w:t>Hebner</w:t>
      </w:r>
      <w:proofErr w:type="spellEnd"/>
      <w:r>
        <w:t xml:space="preserve"> provide additional testimony supporting the overall reasonableness of the Project.  My testimony and the more in-depth testimonies of the other 11 Company witnesses demonstrate that approval of this </w:t>
      </w:r>
      <w:proofErr w:type="spellStart"/>
      <w:r>
        <w:t>CCN</w:t>
      </w:r>
      <w:proofErr w:type="spellEnd"/>
      <w:r>
        <w:t xml:space="preserve"> amendment is merited under the relevant statutory provisions.</w:t>
      </w:r>
    </w:p>
    <w:p w14:paraId="18D60B64" w14:textId="77777777" w:rsidR="009A0F55" w:rsidRDefault="009A0F55">
      <w:pPr>
        <w:pStyle w:val="Answer"/>
        <w:ind w:left="0" w:firstLine="0"/>
      </w:pPr>
    </w:p>
    <w:p w14:paraId="18D60B65" w14:textId="77777777" w:rsidR="009A0F55" w:rsidRDefault="009F7119">
      <w:pPr>
        <w:pStyle w:val="Heading1"/>
      </w:pPr>
      <w:bookmarkStart w:id="4" w:name="_Toc458772606"/>
      <w:bookmarkStart w:id="5" w:name="_Toc458772866"/>
      <w:bookmarkStart w:id="6" w:name="_Toc458772607"/>
      <w:bookmarkStart w:id="7" w:name="_Toc458772867"/>
      <w:bookmarkStart w:id="8" w:name="_Toc458772608"/>
      <w:bookmarkStart w:id="9" w:name="_Toc458772868"/>
      <w:bookmarkStart w:id="10" w:name="_Toc458772609"/>
      <w:bookmarkStart w:id="11" w:name="_Toc458772869"/>
      <w:bookmarkStart w:id="12" w:name="_Toc458772610"/>
      <w:bookmarkStart w:id="13" w:name="_Toc458772870"/>
      <w:bookmarkStart w:id="14" w:name="_Toc458772611"/>
      <w:bookmarkStart w:id="15" w:name="_Toc458772871"/>
      <w:bookmarkStart w:id="16" w:name="_Toc82442934"/>
      <w:bookmarkEnd w:id="4"/>
      <w:bookmarkEnd w:id="5"/>
      <w:bookmarkEnd w:id="6"/>
      <w:bookmarkEnd w:id="7"/>
      <w:bookmarkEnd w:id="8"/>
      <w:bookmarkEnd w:id="9"/>
      <w:bookmarkEnd w:id="10"/>
      <w:bookmarkEnd w:id="11"/>
      <w:bookmarkEnd w:id="12"/>
      <w:bookmarkEnd w:id="13"/>
      <w:bookmarkEnd w:id="14"/>
      <w:bookmarkEnd w:id="15"/>
      <w:r>
        <w:t xml:space="preserve">Selection of OCAPS from the 2020 </w:t>
      </w:r>
      <w:proofErr w:type="spellStart"/>
      <w:r>
        <w:t>ETI</w:t>
      </w:r>
      <w:proofErr w:type="spellEnd"/>
      <w:r>
        <w:t xml:space="preserve"> RFP</w:t>
      </w:r>
      <w:bookmarkEnd w:id="16"/>
    </w:p>
    <w:p w14:paraId="18D60B66" w14:textId="77777777" w:rsidR="009A0F55" w:rsidRDefault="009F7119">
      <w:pPr>
        <w:pStyle w:val="QUESTION"/>
      </w:pPr>
      <w:bookmarkStart w:id="17" w:name="OLE_LINK1"/>
      <w:bookmarkStart w:id="18" w:name="OLE_LINK2"/>
      <w:r>
        <w:t xml:space="preserve">PLEASE DESCRIBE THE CIRCUMSTANCES GIVING RISE TO THE 2020 </w:t>
      </w:r>
      <w:proofErr w:type="spellStart"/>
      <w:r>
        <w:t>ETI</w:t>
      </w:r>
      <w:proofErr w:type="spellEnd"/>
      <w:r>
        <w:t xml:space="preserve"> RFP.</w:t>
      </w:r>
    </w:p>
    <w:bookmarkEnd w:id="17"/>
    <w:bookmarkEnd w:id="18"/>
    <w:p w14:paraId="18D60B67" w14:textId="77777777" w:rsidR="009A0F55" w:rsidRDefault="009F7119">
      <w:pPr>
        <w:pStyle w:val="Answer"/>
      </w:pPr>
      <w:r>
        <w:t>A.</w:t>
      </w:r>
      <w:r>
        <w:tab/>
        <w:t xml:space="preserve">As President and CEO of </w:t>
      </w:r>
      <w:proofErr w:type="spellStart"/>
      <w:r>
        <w:t>ETI</w:t>
      </w:r>
      <w:proofErr w:type="spellEnd"/>
      <w:r>
        <w:t xml:space="preserve">, I am responsible for, among other things, ensuring that </w:t>
      </w:r>
      <w:proofErr w:type="spellStart"/>
      <w:r>
        <w:t>ETI</w:t>
      </w:r>
      <w:proofErr w:type="spellEnd"/>
      <w:r>
        <w:t xml:space="preserve"> continuously monitors and analyzes a host of factors to ensure the Company is meeting its current and future customers’ long-term needs.  Ms. Weaver describes in detail the extensive resource planning process and thorough consideration of alternative generation portfolios that preceded the RFP.  This process resulted in my decision to move forward with the issuance of </w:t>
      </w:r>
      <w:r>
        <w:rPr>
          <w:rFonts w:eastAsia="Calibri"/>
        </w:rPr>
        <w:t xml:space="preserve">the 2020 </w:t>
      </w:r>
      <w:proofErr w:type="spellStart"/>
      <w:r>
        <w:rPr>
          <w:rFonts w:eastAsia="Calibri"/>
        </w:rPr>
        <w:t>ETI</w:t>
      </w:r>
      <w:proofErr w:type="spellEnd"/>
      <w:r>
        <w:rPr>
          <w:rFonts w:eastAsia="Calibri"/>
        </w:rPr>
        <w:t xml:space="preserve"> RFP</w:t>
      </w:r>
      <w:r>
        <w:t xml:space="preserve">.  </w:t>
      </w:r>
      <w:proofErr w:type="spellStart"/>
      <w:r>
        <w:t>ETI’s</w:t>
      </w:r>
      <w:proofErr w:type="spellEnd"/>
      <w:r>
        <w:t xml:space="preserve"> recent forecasts show an ongoing long-term need for capacity, energy, and system stability support, especially in the Eastern Region of its service area.  In fact, load growth and aging infrastructure </w:t>
      </w:r>
      <w:r>
        <w:lastRenderedPageBreak/>
        <w:t xml:space="preserve">are expected to create a capacity shortfall for </w:t>
      </w:r>
      <w:proofErr w:type="spellStart"/>
      <w:r>
        <w:t>ETI</w:t>
      </w:r>
      <w:proofErr w:type="spellEnd"/>
      <w:r>
        <w:t xml:space="preserve"> of approximately 1,073 MW in 2026, increasing to 1.4 </w:t>
      </w:r>
      <w:proofErr w:type="spellStart"/>
      <w:r>
        <w:t>GW</w:t>
      </w:r>
      <w:proofErr w:type="spellEnd"/>
      <w:r>
        <w:t xml:space="preserve"> in 2031.</w:t>
      </w:r>
      <w:r>
        <w:rPr>
          <w:rStyle w:val="FootnoteReference"/>
        </w:rPr>
        <w:footnoteReference w:id="9"/>
      </w:r>
      <w:r>
        <w:t xml:space="preserve">  In an effort to address these supply needs, I directed issuance of the 2020 </w:t>
      </w:r>
      <w:proofErr w:type="spellStart"/>
      <w:r>
        <w:t>ETI</w:t>
      </w:r>
      <w:proofErr w:type="spellEnd"/>
      <w:r>
        <w:t xml:space="preserve"> RFP.  I specifically directed ESL to design and administer the RFP on </w:t>
      </w:r>
      <w:proofErr w:type="spellStart"/>
      <w:r>
        <w:t>ETI’s</w:t>
      </w:r>
      <w:proofErr w:type="spellEnd"/>
      <w:r>
        <w:t xml:space="preserve"> behalf, and I determined that the RFP should be conducted under the direction of an Independent Monitor.  I asked Ms. Weaver to lead the effort on behalf of </w:t>
      </w:r>
      <w:proofErr w:type="spellStart"/>
      <w:r>
        <w:t>ETI</w:t>
      </w:r>
      <w:proofErr w:type="spellEnd"/>
      <w:r>
        <w:t>.</w:t>
      </w:r>
      <w:r>
        <w:rPr>
          <w:rStyle w:val="CommentReference"/>
        </w:rPr>
        <w:t xml:space="preserve">  </w:t>
      </w:r>
      <w:r>
        <w:t xml:space="preserve">Specifically, ESL was tasked with developing, designing, and conducting the RFP consistent with the planning objectives identified by </w:t>
      </w:r>
      <w:proofErr w:type="spellStart"/>
      <w:r>
        <w:t>ETI</w:t>
      </w:r>
      <w:proofErr w:type="spellEnd"/>
      <w:r>
        <w:t xml:space="preserve">, evaluating the 2020 </w:t>
      </w:r>
      <w:proofErr w:type="spellStart"/>
      <w:r>
        <w:t>ETI</w:t>
      </w:r>
      <w:proofErr w:type="spellEnd"/>
      <w:r>
        <w:t xml:space="preserve"> RFP proposals, and making recommendations regarding RFP resource selections to the </w:t>
      </w:r>
      <w:proofErr w:type="spellStart"/>
      <w:r>
        <w:t>ETI</w:t>
      </w:r>
      <w:proofErr w:type="spellEnd"/>
      <w:r>
        <w:t xml:space="preserve"> Operating Committee (“OC”) and me.</w:t>
      </w:r>
    </w:p>
    <w:p w14:paraId="18D60B68" w14:textId="77777777" w:rsidR="009A0F55" w:rsidRDefault="009A0F55">
      <w:pPr>
        <w:pStyle w:val="Answer"/>
      </w:pPr>
    </w:p>
    <w:p w14:paraId="18D60B69" w14:textId="77777777" w:rsidR="009A0F55" w:rsidRDefault="009F7119">
      <w:pPr>
        <w:pStyle w:val="QUESTION"/>
      </w:pPr>
      <w:r>
        <w:t>WHY DID YOU DETERMINE THAT THE RFP SHOULD BE CONDUCTED, and done so UNDER THE OVERSIGHT OF AN INDEPENDENT MONITOR?</w:t>
      </w:r>
    </w:p>
    <w:p w14:paraId="18D60B6A" w14:textId="7DF53C2F" w:rsidR="009A0F55" w:rsidRDefault="009F7119">
      <w:pPr>
        <w:pStyle w:val="Answer"/>
        <w:rPr>
          <w:caps/>
        </w:rPr>
      </w:pPr>
      <w:r>
        <w:t>A.</w:t>
      </w:r>
      <w:r>
        <w:tab/>
        <w:t xml:space="preserve">For my own decision-making purposes and to help ensure that </w:t>
      </w:r>
      <w:proofErr w:type="spellStart"/>
      <w:r>
        <w:t>ETI</w:t>
      </w:r>
      <w:proofErr w:type="spellEnd"/>
      <w:r>
        <w:t xml:space="preserve"> is indeed meeting its obligation to customers to provide reliable power at the lowest reasonable cost, I believed it was important to issue an independently monitored RFP to afford an opportunity to market</w:t>
      </w:r>
      <w:r w:rsidR="00CF33FB">
        <w:t xml:space="preserve"> </w:t>
      </w:r>
      <w:r>
        <w:t xml:space="preserve">test the Project against other available alternatives.  It was important to me that this RFP process be conducted under the oversight of an Independent Monitor who would provide input into the solicitation and evaluation processes and help provide confidence to me, potential bidders, and the Commission that the RFP was conducted in a fair and impartial matter.  In my view, this oversight, together with the Independent Monitor’s extensive experience with RFPs throughout </w:t>
      </w:r>
      <w:r>
        <w:lastRenderedPageBreak/>
        <w:t xml:space="preserve">the utility industry, was highly beneficial in ensuring that the process was appropriately and fairly conducted.  Mr. Oliver served as the Independent Monitor.  </w:t>
      </w:r>
    </w:p>
    <w:p w14:paraId="18D60B6B" w14:textId="77777777" w:rsidR="009A0F55" w:rsidRDefault="009A0F55">
      <w:pPr>
        <w:pStyle w:val="Answer"/>
      </w:pPr>
    </w:p>
    <w:p w14:paraId="18D60B6C" w14:textId="77777777" w:rsidR="009A0F55" w:rsidRDefault="009F7119">
      <w:pPr>
        <w:pStyle w:val="QUESTION"/>
      </w:pPr>
      <w:r>
        <w:t xml:space="preserve">WHAT WAS the 2020 </w:t>
      </w:r>
      <w:proofErr w:type="spellStart"/>
      <w:r>
        <w:t>eti</w:t>
      </w:r>
      <w:proofErr w:type="spellEnd"/>
      <w:r>
        <w:t xml:space="preserve"> rfp DESIGNED TO DO?</w:t>
      </w:r>
    </w:p>
    <w:p w14:paraId="18D60B6D" w14:textId="0E65182B" w:rsidR="009A0F55" w:rsidRDefault="009F7119">
      <w:pPr>
        <w:pStyle w:val="Answer"/>
        <w:numPr>
          <w:ilvl w:val="2"/>
          <w:numId w:val="1"/>
        </w:numPr>
      </w:pPr>
      <w:r>
        <w:t xml:space="preserve">The 2020 </w:t>
      </w:r>
      <w:proofErr w:type="spellStart"/>
      <w:r>
        <w:t>ETI</w:t>
      </w:r>
      <w:proofErr w:type="spellEnd"/>
      <w:r>
        <w:t xml:space="preserve"> RFP process was designed to solicit competitive proposals for generating resources to meet customers’ needs over the long-term planning horizon, and to identify the resource(s) that would best meet those needs at a reasonable cost while mitigating risk.  </w:t>
      </w:r>
      <w:proofErr w:type="spellStart"/>
      <w:r>
        <w:t>ETI</w:t>
      </w:r>
      <w:proofErr w:type="spellEnd"/>
      <w:r>
        <w:t xml:space="preserve"> planned to market</w:t>
      </w:r>
      <w:r w:rsidR="00CF33FB">
        <w:t xml:space="preserve"> </w:t>
      </w:r>
      <w:bookmarkStart w:id="19" w:name="_GoBack"/>
      <w:bookmarkEnd w:id="19"/>
      <w:r>
        <w:t xml:space="preserve">test a self-build option against competitive suppliers on an anonymous basis in order to identify the resource that best meets such criteria.  Mr. Oliver and Mr. Nguyen collectively describe the overview, development, and administration of the 2020 </w:t>
      </w:r>
      <w:proofErr w:type="spellStart"/>
      <w:r>
        <w:t>ETI</w:t>
      </w:r>
      <w:proofErr w:type="spellEnd"/>
      <w:r>
        <w:t xml:space="preserve"> RFP in greater detail.</w:t>
      </w:r>
    </w:p>
    <w:p w14:paraId="18D60B6E" w14:textId="77777777" w:rsidR="009A0F55" w:rsidRDefault="009A0F55">
      <w:pPr>
        <w:pStyle w:val="Answer"/>
      </w:pPr>
    </w:p>
    <w:p w14:paraId="18D60B6F" w14:textId="77777777" w:rsidR="009A0F55" w:rsidRDefault="009F7119">
      <w:pPr>
        <w:pStyle w:val="QUESTION"/>
      </w:pPr>
      <w:r>
        <w:t xml:space="preserve">Does the fact that the Project was the only proposal submitted into the 2020 </w:t>
      </w:r>
      <w:proofErr w:type="spellStart"/>
      <w:r>
        <w:t>ETI</w:t>
      </w:r>
      <w:proofErr w:type="spellEnd"/>
      <w:r>
        <w:t xml:space="preserve"> RFP </w:t>
      </w:r>
      <w:proofErr w:type="gramStart"/>
      <w:r>
        <w:t>diminish</w:t>
      </w:r>
      <w:proofErr w:type="gramEnd"/>
      <w:r>
        <w:t xml:space="preserve"> the importance of the RFP process in any way?</w:t>
      </w:r>
    </w:p>
    <w:p w14:paraId="18D60B70" w14:textId="54AA9542" w:rsidR="009A0F55" w:rsidRDefault="009F7119">
      <w:pPr>
        <w:pStyle w:val="Answer"/>
      </w:pPr>
      <w:r>
        <w:t>A.</w:t>
      </w:r>
      <w:r>
        <w:tab/>
        <w:t xml:space="preserve">No, quite the opposite.  First, the RFP process ensured that the 2020 </w:t>
      </w:r>
      <w:proofErr w:type="spellStart"/>
      <w:r>
        <w:t>ETI</w:t>
      </w:r>
      <w:proofErr w:type="spellEnd"/>
      <w:r>
        <w:t xml:space="preserve"> RFP would be widely publicized with potential bidders given a reasonable opportunity to compete against the self-build proposal.  Second, the RFP process provided assurance to me that the self-build team would be encouraged to develop a cost-competitive proposal, and at the same time that the self</w:t>
      </w:r>
      <w:r>
        <w:noBreakHyphen/>
        <w:t xml:space="preserve">build was given no preference.  Third, the RFP process confirmed for me that the self-build proposal would be evaluated using objective methods and data, all reviewed by an independent third-party.  Thus, through the RFP </w:t>
      </w:r>
      <w:r>
        <w:lastRenderedPageBreak/>
        <w:t xml:space="preserve">process, I have attained confidence that the Project is a reasonable supply option that is expected to yield </w:t>
      </w:r>
      <w:r w:rsidR="00C62E28">
        <w:t xml:space="preserve">significant </w:t>
      </w:r>
      <w:r>
        <w:t xml:space="preserve">net benefits for </w:t>
      </w:r>
      <w:proofErr w:type="spellStart"/>
      <w:r>
        <w:t>ETI’s</w:t>
      </w:r>
      <w:proofErr w:type="spellEnd"/>
      <w:r>
        <w:t xml:space="preserve"> customers.</w:t>
      </w:r>
    </w:p>
    <w:p w14:paraId="18D60B71" w14:textId="77777777" w:rsidR="009A0F55" w:rsidRDefault="009A0F55">
      <w:pPr>
        <w:pStyle w:val="Answer"/>
      </w:pPr>
    </w:p>
    <w:p w14:paraId="18D60B72" w14:textId="77777777" w:rsidR="009A0F55" w:rsidRDefault="009F7119">
      <w:pPr>
        <w:pStyle w:val="QUESTION"/>
      </w:pPr>
      <w:r>
        <w:t xml:space="preserve">PLEASE DESCRIBE THE PROCESS OF selectING OCAPS from the 2020 </w:t>
      </w:r>
      <w:proofErr w:type="spellStart"/>
      <w:r>
        <w:t>ETI</w:t>
      </w:r>
      <w:proofErr w:type="spellEnd"/>
      <w:r>
        <w:t xml:space="preserve"> rfp.</w:t>
      </w:r>
    </w:p>
    <w:p w14:paraId="18D60B73" w14:textId="77777777" w:rsidR="009A0F55" w:rsidRDefault="009F7119">
      <w:pPr>
        <w:pStyle w:val="Answer"/>
      </w:pPr>
      <w:r>
        <w:t>A.</w:t>
      </w:r>
      <w:r>
        <w:tab/>
        <w:t xml:space="preserve">On November 30, 2020, the RFP Administration Team, including Mr. Nguyen, presented to the </w:t>
      </w:r>
      <w:proofErr w:type="spellStart"/>
      <w:r>
        <w:t>ETI</w:t>
      </w:r>
      <w:proofErr w:type="spellEnd"/>
      <w:r>
        <w:t xml:space="preserve"> OC and me the results of the 2020 </w:t>
      </w:r>
      <w:proofErr w:type="spellStart"/>
      <w:r>
        <w:t>ETI</w:t>
      </w:r>
      <w:proofErr w:type="spellEnd"/>
      <w:r>
        <w:t xml:space="preserve"> RFP evaluation and recommended selection of OCAPS from the RFP.  After the team responded to questions from the </w:t>
      </w:r>
      <w:proofErr w:type="spellStart"/>
      <w:r>
        <w:t>ETI</w:t>
      </w:r>
      <w:proofErr w:type="spellEnd"/>
      <w:r>
        <w:t xml:space="preserve"> OC and myself, the </w:t>
      </w:r>
      <w:proofErr w:type="spellStart"/>
      <w:r>
        <w:t>ETI</w:t>
      </w:r>
      <w:proofErr w:type="spellEnd"/>
      <w:r>
        <w:t xml:space="preserve"> OC provided their concurrence of the recommendation and I approved the selection of OCAPS from the RFP.  The materials presented to the </w:t>
      </w:r>
      <w:proofErr w:type="spellStart"/>
      <w:r>
        <w:t>ETI</w:t>
      </w:r>
      <w:proofErr w:type="spellEnd"/>
      <w:r>
        <w:t xml:space="preserve"> OC are included in Exhibit </w:t>
      </w:r>
      <w:proofErr w:type="spellStart"/>
      <w:r>
        <w:t>STR</w:t>
      </w:r>
      <w:proofErr w:type="spellEnd"/>
      <w:r>
        <w:t>-1 (</w:t>
      </w:r>
      <w:proofErr w:type="spellStart"/>
      <w:r>
        <w:t>HSPM</w:t>
      </w:r>
      <w:proofErr w:type="spellEnd"/>
      <w:r>
        <w:t xml:space="preserve">).  </w:t>
      </w:r>
    </w:p>
    <w:p w14:paraId="18D60B74" w14:textId="77777777" w:rsidR="009A0F55" w:rsidRDefault="009A0F55">
      <w:pPr>
        <w:pStyle w:val="Answer"/>
      </w:pPr>
    </w:p>
    <w:p w14:paraId="18D60B75" w14:textId="77777777" w:rsidR="009A0F55" w:rsidRDefault="009F7119">
      <w:pPr>
        <w:pStyle w:val="QUESTION"/>
      </w:pPr>
      <w:r>
        <w:t xml:space="preserve">PLEASE SUMMARIZE THE RATIONALE FOR SELECTIng OCAPS from the 2020 </w:t>
      </w:r>
      <w:proofErr w:type="spellStart"/>
      <w:r>
        <w:t>ETI</w:t>
      </w:r>
      <w:proofErr w:type="spellEnd"/>
      <w:r>
        <w:t xml:space="preserve"> rfp.</w:t>
      </w:r>
    </w:p>
    <w:p w14:paraId="18D60B76" w14:textId="77777777" w:rsidR="009A0F55" w:rsidRDefault="009F7119">
      <w:pPr>
        <w:pStyle w:val="Answer"/>
      </w:pPr>
      <w:r>
        <w:t>A.</w:t>
      </w:r>
      <w:r>
        <w:tab/>
        <w:t xml:space="preserve">The detailed and technical RFP evaluation process demonstrates that OCAPS matches the Company’s supply objectives at the lowest reasonable cost while mitigating risk to </w:t>
      </w:r>
      <w:proofErr w:type="spellStart"/>
      <w:r>
        <w:t>ETI</w:t>
      </w:r>
      <w:proofErr w:type="spellEnd"/>
      <w:r>
        <w:t xml:space="preserve"> customers across a wide range of future market and policy conditions.  The Project offers significant projected net benefits and addresses other important planning objectives.</w:t>
      </w:r>
    </w:p>
    <w:p w14:paraId="18D60B77" w14:textId="286F1E0F" w:rsidR="009A0F55" w:rsidRDefault="009F7119">
      <w:pPr>
        <w:pStyle w:val="Answer2"/>
      </w:pPr>
      <w:r>
        <w:t>Beyond the economics, I am confident that the addition of this highly</w:t>
      </w:r>
      <w:r w:rsidR="005B2C93">
        <w:t xml:space="preserve"> </w:t>
      </w:r>
      <w:r>
        <w:t xml:space="preserve">efficient, dual fuel, </w:t>
      </w:r>
      <w:proofErr w:type="spellStart"/>
      <w:r>
        <w:t>dispatchable</w:t>
      </w:r>
      <w:proofErr w:type="spellEnd"/>
      <w:r>
        <w:t xml:space="preserve"> clean generating facility into </w:t>
      </w:r>
      <w:proofErr w:type="spellStart"/>
      <w:r>
        <w:t>ETI’s</w:t>
      </w:r>
      <w:proofErr w:type="spellEnd"/>
      <w:r>
        <w:t xml:space="preserve"> generating fleet is the right choice from an operational standpoint.  OCAPS will serve a critical role by addressing </w:t>
      </w:r>
      <w:proofErr w:type="spellStart"/>
      <w:r>
        <w:lastRenderedPageBreak/>
        <w:t>ETI’s</w:t>
      </w:r>
      <w:proofErr w:type="spellEnd"/>
      <w:r>
        <w:t xml:space="preserve"> in-region reliability, capacity, and energy needs and reducing the Company’s present reliance on aging generation and transmission imports into the region. </w:t>
      </w:r>
    </w:p>
    <w:p w14:paraId="18D60B78" w14:textId="77777777" w:rsidR="009A0F55" w:rsidRDefault="009A0F55">
      <w:pPr>
        <w:pStyle w:val="Answer"/>
      </w:pPr>
    </w:p>
    <w:p w14:paraId="18D60B79" w14:textId="77777777" w:rsidR="009A0F55" w:rsidRDefault="009F7119">
      <w:pPr>
        <w:pStyle w:val="Heading1"/>
      </w:pPr>
      <w:bookmarkStart w:id="20" w:name="_Toc82442935"/>
      <w:r>
        <w:t>Benefits of the Project</w:t>
      </w:r>
      <w:bookmarkEnd w:id="20"/>
    </w:p>
    <w:p w14:paraId="18D60B7A" w14:textId="77777777" w:rsidR="009A0F55" w:rsidRDefault="009F7119">
      <w:pPr>
        <w:pStyle w:val="QUESTION"/>
      </w:pPr>
      <w:r>
        <w:t>PLEASE summarize THE BENEFITS OF THE PROJECT.</w:t>
      </w:r>
    </w:p>
    <w:p w14:paraId="18D60B7B" w14:textId="77777777" w:rsidR="009A0F55" w:rsidRDefault="009F7119">
      <w:pPr>
        <w:pStyle w:val="Answer"/>
      </w:pPr>
      <w:r>
        <w:t>A.</w:t>
      </w:r>
      <w:r>
        <w:tab/>
        <w:t xml:space="preserve">As various Company witnesses testify, the construction of OCAPS is critical to ensuring that </w:t>
      </w:r>
      <w:proofErr w:type="spellStart"/>
      <w:r>
        <w:t>ETI’s</w:t>
      </w:r>
      <w:proofErr w:type="spellEnd"/>
      <w:r>
        <w:t xml:space="preserve"> customers receive sustainable, affordable, reliable power over the long-term.  The Project is also beneficial to Southeast Texas for several other reasons.  </w:t>
      </w:r>
    </w:p>
    <w:p w14:paraId="18D60B7C" w14:textId="77777777" w:rsidR="009A0F55" w:rsidRDefault="009F7119">
      <w:pPr>
        <w:pStyle w:val="Answer2"/>
      </w:pPr>
      <w:r>
        <w:t xml:space="preserve">First, adding OCAPS to </w:t>
      </w:r>
      <w:proofErr w:type="spellStart"/>
      <w:r>
        <w:t>ETI’s</w:t>
      </w:r>
      <w:proofErr w:type="spellEnd"/>
      <w:r>
        <w:t xml:space="preserve"> generation portfolio will help meet the long-term supply needs of our customers by providing a modern, efficient generating unit that reliably and economically meets the capacity and energy needs of </w:t>
      </w:r>
      <w:proofErr w:type="spellStart"/>
      <w:r>
        <w:t>ETI’s</w:t>
      </w:r>
      <w:proofErr w:type="spellEnd"/>
      <w:r>
        <w:t xml:space="preserve"> customers and reduces reliance on aging generation.  Locating OCAPS in Southeast Texas will, among other things, support regional reliability and rapid restoration of service after a major disruption—such as those recently experienced during Hurricane Laura and Winter Storm Uri—a critical consideration in a hurricane and storm-prone area like </w:t>
      </w:r>
      <w:proofErr w:type="spellStart"/>
      <w:r>
        <w:t>ETI’s</w:t>
      </w:r>
      <w:proofErr w:type="spellEnd"/>
      <w:r>
        <w:t xml:space="preserve"> service territory.</w:t>
      </w:r>
    </w:p>
    <w:p w14:paraId="18D60B7D" w14:textId="49E0E4D7" w:rsidR="009A0F55" w:rsidRDefault="009F7119">
      <w:pPr>
        <w:pStyle w:val="Answer2"/>
      </w:pPr>
      <w:r>
        <w:t xml:space="preserve">Second, the economic evaluation associated with the 2020 </w:t>
      </w:r>
      <w:proofErr w:type="spellStart"/>
      <w:r>
        <w:t>ETI</w:t>
      </w:r>
      <w:proofErr w:type="spellEnd"/>
      <w:r>
        <w:t xml:space="preserve"> RFP along with the subsequent updated economic analysis based on refreshed planning assumptions, including updated commodity prices, concluded that adding OCAPS to </w:t>
      </w:r>
      <w:proofErr w:type="spellStart"/>
      <w:r>
        <w:t>ETI’s</w:t>
      </w:r>
      <w:proofErr w:type="spellEnd"/>
      <w:r>
        <w:t xml:space="preserve"> portfolio will produce substantial total supply cost savings during the resource’s expected life.</w:t>
      </w:r>
    </w:p>
    <w:p w14:paraId="18D60B7E" w14:textId="77777777" w:rsidR="009A0F55" w:rsidRDefault="009F7119">
      <w:pPr>
        <w:pStyle w:val="Answer2"/>
      </w:pPr>
      <w:r>
        <w:t xml:space="preserve">Finally, the Project represents a substantial investment in this state, and is expected to produce a number of significant and long-term regional benefits for </w:t>
      </w:r>
      <w:proofErr w:type="spellStart"/>
      <w:r>
        <w:t>ETI’s</w:t>
      </w:r>
      <w:proofErr w:type="spellEnd"/>
      <w:r>
        <w:t xml:space="preserve"> customers and the regional community of Southeast Texas.  Local benefits from an </w:t>
      </w:r>
      <w:r>
        <w:lastRenderedPageBreak/>
        <w:t>investment of this magnitude include additional household earnings and jobs in both the state and regional economies.</w:t>
      </w:r>
    </w:p>
    <w:p w14:paraId="18D60B7F" w14:textId="77777777" w:rsidR="009A0F55" w:rsidRDefault="009A0F55">
      <w:pPr>
        <w:pStyle w:val="Answer"/>
      </w:pPr>
    </w:p>
    <w:p w14:paraId="18D60B80" w14:textId="77777777" w:rsidR="009A0F55" w:rsidRDefault="009F7119">
      <w:pPr>
        <w:pStyle w:val="QUESTION"/>
      </w:pPr>
      <w:r>
        <w:t xml:space="preserve">PLEASE ELABORATE ON the benefits associated with MEETing </w:t>
      </w:r>
      <w:proofErr w:type="spellStart"/>
      <w:r>
        <w:t>ETI’S</w:t>
      </w:r>
      <w:proofErr w:type="spellEnd"/>
      <w:r>
        <w:t xml:space="preserve"> LONG-TERM SUPPLY NEED.</w:t>
      </w:r>
    </w:p>
    <w:p w14:paraId="18D60B81" w14:textId="77777777" w:rsidR="009A0F55" w:rsidRDefault="009F7119">
      <w:pPr>
        <w:pStyle w:val="Answer"/>
      </w:pPr>
      <w:r>
        <w:t>A.</w:t>
      </w:r>
      <w:r>
        <w:tab/>
        <w:t xml:space="preserve">Southeast Texas is growing significantly, while </w:t>
      </w:r>
      <w:proofErr w:type="spellStart"/>
      <w:r>
        <w:t>ETI’s</w:t>
      </w:r>
      <w:proofErr w:type="spellEnd"/>
      <w:r>
        <w:t xml:space="preserve"> existing generation infrastructure is aging and much of it will be removed from service in the foreseeable future.  The Company must secure new generation resources now to meet its customers’ needs going forward.  Specifically, </w:t>
      </w:r>
      <w:proofErr w:type="spellStart"/>
      <w:r>
        <w:t>ETI</w:t>
      </w:r>
      <w:proofErr w:type="spellEnd"/>
      <w:r>
        <w:t xml:space="preserve"> needs additional in-region supply-side resources to continue to provide reliable service to its customers at a reasonable cost over the long term.  As Ms. Weaver discusses in her direct testimony, the Company projects that </w:t>
      </w:r>
      <w:proofErr w:type="gramStart"/>
      <w:r>
        <w:t>its</w:t>
      </w:r>
      <w:proofErr w:type="gramEnd"/>
      <w:r>
        <w:t xml:space="preserve"> owned and contracted capacity will be short of its capacity requirements in 2026, with that shortfall growing into 2031.  A representation of </w:t>
      </w:r>
      <w:proofErr w:type="spellStart"/>
      <w:r>
        <w:t>ETI’s</w:t>
      </w:r>
      <w:proofErr w:type="spellEnd"/>
      <w:r>
        <w:t xml:space="preserve"> growing peak load requirements is depicted in Figure 3 below.  </w:t>
      </w:r>
    </w:p>
    <w:p w14:paraId="18D60B82" w14:textId="77777777" w:rsidR="009A0F55" w:rsidRDefault="009F7119">
      <w:pPr>
        <w:pStyle w:val="Title"/>
      </w:pPr>
      <w:r>
        <w:t xml:space="preserve">           Figure 3: </w:t>
      </w:r>
      <w:proofErr w:type="spellStart"/>
      <w:r>
        <w:t>ETI’s</w:t>
      </w:r>
      <w:proofErr w:type="spellEnd"/>
      <w:r>
        <w:t xml:space="preserve"> Forecasted Peak Load (2022 – 2031)</w:t>
      </w:r>
    </w:p>
    <w:p w14:paraId="18D60B83" w14:textId="77777777" w:rsidR="009A0F55" w:rsidRDefault="009F7119">
      <w:pPr>
        <w:pStyle w:val="ListParagraph"/>
        <w:suppressLineNumbers/>
        <w:spacing w:line="480" w:lineRule="auto"/>
        <w:ind w:firstLine="720"/>
        <w:jc w:val="both"/>
      </w:pPr>
      <w:r>
        <w:rPr>
          <w:noProof/>
        </w:rPr>
        <w:t xml:space="preserve"> </w:t>
      </w:r>
      <w:r>
        <w:rPr>
          <w:noProof/>
        </w:rPr>
        <w:drawing>
          <wp:inline distT="0" distB="0" distL="0" distR="0" wp14:anchorId="18D60B9D" wp14:editId="18D60B9E">
            <wp:extent cx="4234338" cy="21604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2">
                      <a:extLst>
                        <a:ext uri="{28A0092B-C50C-407E-A947-70E740481C1C}">
                          <a14:useLocalDpi xmlns:a14="http://schemas.microsoft.com/office/drawing/2010/main" val="0"/>
                        </a:ext>
                      </a:extLst>
                    </a:blip>
                    <a:stretch>
                      <a:fillRect/>
                    </a:stretch>
                  </pic:blipFill>
                  <pic:spPr>
                    <a:xfrm>
                      <a:off x="0" y="0"/>
                      <a:ext cx="4234338" cy="2160479"/>
                    </a:xfrm>
                    <a:prstGeom prst="rect">
                      <a:avLst/>
                    </a:prstGeom>
                  </pic:spPr>
                </pic:pic>
              </a:graphicData>
            </a:graphic>
          </wp:inline>
        </w:drawing>
      </w:r>
    </w:p>
    <w:p w14:paraId="18D60B84" w14:textId="77777777" w:rsidR="009A0F55" w:rsidRDefault="009F7119">
      <w:pPr>
        <w:pStyle w:val="Answer2"/>
      </w:pPr>
      <w:r>
        <w:lastRenderedPageBreak/>
        <w:t xml:space="preserve">The addition of a new, highly efficient </w:t>
      </w:r>
      <w:proofErr w:type="spellStart"/>
      <w:r>
        <w:t>CCCT</w:t>
      </w:r>
      <w:proofErr w:type="spellEnd"/>
      <w:r>
        <w:t xml:space="preserve"> resource to </w:t>
      </w:r>
      <w:proofErr w:type="spellStart"/>
      <w:r>
        <w:t>ETI’s</w:t>
      </w:r>
      <w:proofErr w:type="spellEnd"/>
      <w:r>
        <w:t xml:space="preserve"> generation fleet will reduce reliance on older, less efficient generation to meet customers’ energy needs.  OCAPS is expected to operate at heat rates much lower than those of </w:t>
      </w:r>
      <w:proofErr w:type="spellStart"/>
      <w:r>
        <w:t>ETI’s</w:t>
      </w:r>
      <w:proofErr w:type="spellEnd"/>
      <w:r>
        <w:t xml:space="preserve"> legacy steam generators that the Project will replace, and is projected to operate at a high capacity factor.  This means OCAPS is expected to produce a significant amount of energy that </w:t>
      </w:r>
      <w:proofErr w:type="spellStart"/>
      <w:r>
        <w:t>ETI</w:t>
      </w:r>
      <w:proofErr w:type="spellEnd"/>
      <w:r>
        <w:t xml:space="preserve"> will be able to sell into the MISO market.  This is important because OCAPS will often produce energy at a cost much lower than the expected market clearing prices for energy required to serve </w:t>
      </w:r>
      <w:proofErr w:type="spellStart"/>
      <w:r>
        <w:t>ETI’s</w:t>
      </w:r>
      <w:proofErr w:type="spellEnd"/>
      <w:r>
        <w:t xml:space="preserve"> load, with the difference representing margins that will directly offset </w:t>
      </w:r>
      <w:proofErr w:type="spellStart"/>
      <w:r>
        <w:t>ETI’s</w:t>
      </w:r>
      <w:proofErr w:type="spellEnd"/>
      <w:r>
        <w:t xml:space="preserve"> customers’ fuel costs.</w:t>
      </w:r>
    </w:p>
    <w:p w14:paraId="18D60B85" w14:textId="64C77078" w:rsidR="009A0F55" w:rsidRDefault="009F7119">
      <w:pPr>
        <w:pStyle w:val="Answer2"/>
      </w:pPr>
      <w:r>
        <w:t xml:space="preserve">At an estimated cost of $1.19 billion, OCAPS is expected to provide roughly $1.85 billion in overall net benefits over and above its cost relative to alternative capacity additions.  Mr. Nguyen provides more detail about the projected supply cost savings, and Ms. Lofton provides the estimated </w:t>
      </w:r>
      <w:r w:rsidR="003400DF">
        <w:t xml:space="preserve">year-one revenue requirement and </w:t>
      </w:r>
      <w:r>
        <w:t xml:space="preserve">bill impact to </w:t>
      </w:r>
      <w:proofErr w:type="spellStart"/>
      <w:r>
        <w:t>ETI’s</w:t>
      </w:r>
      <w:proofErr w:type="spellEnd"/>
      <w:r>
        <w:t xml:space="preserve"> residential customers.  Modern generation technology and pollution controls will also make OCAPS one of </w:t>
      </w:r>
      <w:proofErr w:type="spellStart"/>
      <w:r>
        <w:t>ETI’s</w:t>
      </w:r>
      <w:proofErr w:type="spellEnd"/>
      <w:r>
        <w:t xml:space="preserve"> cleanest resources, with significantly lower emission rates compared to </w:t>
      </w:r>
      <w:proofErr w:type="spellStart"/>
      <w:r>
        <w:t>ETI’s</w:t>
      </w:r>
      <w:proofErr w:type="spellEnd"/>
      <w:r>
        <w:t xml:space="preserve"> older gas-fired steam units.  And by building new generation now, as discussed in detail by Mr. Owens, </w:t>
      </w:r>
      <w:proofErr w:type="spellStart"/>
      <w:r>
        <w:t>ETI</w:t>
      </w:r>
      <w:proofErr w:type="spellEnd"/>
      <w:r>
        <w:t xml:space="preserve"> will be able to insulate its customers from potentially volatile wholesale prices in the MISO markets.</w:t>
      </w:r>
    </w:p>
    <w:p w14:paraId="18D60B86" w14:textId="77777777" w:rsidR="009A0F55" w:rsidRDefault="009F7119">
      <w:pPr>
        <w:pStyle w:val="Answer2"/>
      </w:pPr>
      <w:r>
        <w:t xml:space="preserve">Therefore, including OCAPS in the Company’s generation fleet will reduce </w:t>
      </w:r>
      <w:proofErr w:type="spellStart"/>
      <w:r>
        <w:t>ETI’s</w:t>
      </w:r>
      <w:proofErr w:type="spellEnd"/>
      <w:r>
        <w:t xml:space="preserve"> projected capacity and energy deficits, enhance </w:t>
      </w:r>
      <w:proofErr w:type="spellStart"/>
      <w:r>
        <w:t>ETI’s</w:t>
      </w:r>
      <w:proofErr w:type="spellEnd"/>
      <w:r>
        <w:t xml:space="preserve"> current generation fleet with more efficient, dual fuel, clean energy technology, and address local area planning objectives to maintain reliable service.    </w:t>
      </w:r>
    </w:p>
    <w:p w14:paraId="18D60B87" w14:textId="77777777" w:rsidR="009A0F55" w:rsidRDefault="009F7119">
      <w:pPr>
        <w:pStyle w:val="QUESTION"/>
      </w:pPr>
      <w:r>
        <w:lastRenderedPageBreak/>
        <w:t>HOW DOES OWNING AND OPERATING OCAPS BENEFIT CUSTOMERS FROM AN OPERATIONAL STANDPOINT?</w:t>
      </w:r>
    </w:p>
    <w:p w14:paraId="18D60B88" w14:textId="776C6289" w:rsidR="009A0F55" w:rsidRDefault="009F7119">
      <w:pPr>
        <w:pStyle w:val="Answer"/>
      </w:pPr>
      <w:r>
        <w:t>A.</w:t>
      </w:r>
      <w:r>
        <w:tab/>
        <w:t>In terms of local reliability benefits, Ms. Weaver and Mr. Kline explain how constructing OCAPS will support reliability with in</w:t>
      </w:r>
      <w:r>
        <w:noBreakHyphen/>
        <w:t xml:space="preserve">region capacity located close to a major load center and facilitate system restoration after wide-spread transmission outages due to major disruptions, such as storms and other weather events.  Also, </w:t>
      </w:r>
      <w:proofErr w:type="spellStart"/>
      <w:r>
        <w:t>ETI</w:t>
      </w:r>
      <w:proofErr w:type="spellEnd"/>
      <w:r>
        <w:t xml:space="preserve"> has a proven track record of </w:t>
      </w:r>
      <w:r w:rsidR="003400DF">
        <w:t xml:space="preserve">efficiently and reliably </w:t>
      </w:r>
      <w:r>
        <w:t>operati</w:t>
      </w:r>
      <w:r w:rsidR="003400DF">
        <w:t>ng</w:t>
      </w:r>
      <w:r>
        <w:t xml:space="preserve"> its owned generation and will utilize this expertise in the operation of OCAPS.  In addition to serving the important roles described above, constructing OCAPS provides </w:t>
      </w:r>
      <w:proofErr w:type="spellStart"/>
      <w:r>
        <w:t>ETI</w:t>
      </w:r>
      <w:proofErr w:type="spellEnd"/>
      <w:r>
        <w:t xml:space="preserve"> with significant flexibility over how the plant is operated and maintained.  This includes protecting customers from unknown future supply conditions and changes in market economics, as well as providing the opportunity to pursue future alternatives that may be more economic for customers.  </w:t>
      </w:r>
    </w:p>
    <w:p w14:paraId="18D60B89" w14:textId="77777777" w:rsidR="009A0F55" w:rsidRDefault="009A0F55">
      <w:pPr>
        <w:pStyle w:val="Answer"/>
        <w:ind w:left="0" w:firstLine="0"/>
      </w:pPr>
    </w:p>
    <w:p w14:paraId="18D60B8A" w14:textId="77777777" w:rsidR="009A0F55" w:rsidRDefault="009F7119">
      <w:pPr>
        <w:pStyle w:val="QUESTION"/>
      </w:pPr>
      <w:r>
        <w:t>PLEASE ELABORATE ON THE REGIONAL BENEFITS THAT ARE EXPECTED to RESULT from THE PROJECT.</w:t>
      </w:r>
    </w:p>
    <w:p w14:paraId="18D60B8B" w14:textId="77777777" w:rsidR="009A0F55" w:rsidRDefault="009F7119">
      <w:pPr>
        <w:pStyle w:val="Answer"/>
      </w:pPr>
      <w:r>
        <w:t>A.</w:t>
      </w:r>
      <w:r>
        <w:tab/>
        <w:t xml:space="preserve">The benefits of a project of this magnitude to </w:t>
      </w:r>
      <w:proofErr w:type="spellStart"/>
      <w:r>
        <w:t>ETI’s</w:t>
      </w:r>
      <w:proofErr w:type="spellEnd"/>
      <w:r>
        <w:t xml:space="preserve"> service area and, more broadly, to Southeast Texas are significant.  The low energy prices provided by OCAPS will help to ensure that </w:t>
      </w:r>
      <w:proofErr w:type="spellStart"/>
      <w:r>
        <w:t>ETI</w:t>
      </w:r>
      <w:proofErr w:type="spellEnd"/>
      <w:r>
        <w:t xml:space="preserve"> can maintain rates significantly below the national average and attract large customers to Texas.  Mr. Magee discusses that the Company projects a number of major load additions in and around Orange County, which the addition of OCAPS will support.  He also identifies the economic development benefits of the Project, including benefits associated with expanded opportunities for household </w:t>
      </w:r>
      <w:r>
        <w:lastRenderedPageBreak/>
        <w:t>earnings and new jobs.  The construction of the Project and its ongoing operational expenditures will continue to accrue to the benefit of residents in the region while OCAPS is in operation.</w:t>
      </w:r>
    </w:p>
    <w:p w14:paraId="18D60B8C" w14:textId="77777777" w:rsidR="009A0F55" w:rsidRDefault="009A0F55">
      <w:pPr>
        <w:pStyle w:val="Answer"/>
        <w:ind w:left="0" w:firstLine="0"/>
      </w:pPr>
    </w:p>
    <w:p w14:paraId="18D60B8D" w14:textId="77777777" w:rsidR="009A0F55" w:rsidRDefault="009F7119">
      <w:pPr>
        <w:pStyle w:val="QUESTION"/>
      </w:pPr>
      <w:r>
        <w:t xml:space="preserve">does </w:t>
      </w:r>
      <w:proofErr w:type="spellStart"/>
      <w:r>
        <w:t>eti</w:t>
      </w:r>
      <w:proofErr w:type="spellEnd"/>
      <w:r>
        <w:t xml:space="preserve"> already have experience with combined-cycle technology?</w:t>
      </w:r>
    </w:p>
    <w:p w14:paraId="18D60B8E" w14:textId="568F829F" w:rsidR="009A0F55" w:rsidRDefault="009F7119">
      <w:pPr>
        <w:pStyle w:val="Answer"/>
      </w:pPr>
      <w:r>
        <w:t>A.</w:t>
      </w:r>
      <w:r>
        <w:tab/>
        <w:t xml:space="preserve">Yes.  As mentioned above, OCAPS will be </w:t>
      </w:r>
      <w:proofErr w:type="spellStart"/>
      <w:r>
        <w:t>ETI’s</w:t>
      </w:r>
      <w:proofErr w:type="spellEnd"/>
      <w:r>
        <w:t xml:space="preserve"> second major investment in combined-cycle technology.  </w:t>
      </w:r>
      <w:proofErr w:type="spellStart"/>
      <w:r>
        <w:rPr>
          <w:rFonts w:eastAsia="Calibri"/>
        </w:rPr>
        <w:t>ETI</w:t>
      </w:r>
      <w:proofErr w:type="spellEnd"/>
      <w:r>
        <w:rPr>
          <w:rFonts w:eastAsia="Calibri"/>
        </w:rPr>
        <w:t xml:space="preserve"> completed construction of </w:t>
      </w:r>
      <w:proofErr w:type="spellStart"/>
      <w:r>
        <w:rPr>
          <w:rFonts w:eastAsia="Calibri"/>
        </w:rPr>
        <w:t>MCPS</w:t>
      </w:r>
      <w:proofErr w:type="spellEnd"/>
      <w:r>
        <w:rPr>
          <w:rFonts w:eastAsia="Calibri"/>
        </w:rPr>
        <w:t xml:space="preserve">, another highly efficient combined-cycle plant, in late 2020 and placed it in service on January 1 of this year.  </w:t>
      </w:r>
      <w:proofErr w:type="spellStart"/>
      <w:r>
        <w:rPr>
          <w:rFonts w:eastAsia="Calibri"/>
        </w:rPr>
        <w:t>MCPS</w:t>
      </w:r>
      <w:proofErr w:type="spellEnd"/>
      <w:r>
        <w:rPr>
          <w:rFonts w:eastAsia="Calibri"/>
        </w:rPr>
        <w:t xml:space="preserve"> was constructed and ready for commercial operation approximately six months ahead of schedule, and the final cost of that facility was below the cost cap approved by the Commission in the </w:t>
      </w:r>
      <w:proofErr w:type="spellStart"/>
      <w:r>
        <w:rPr>
          <w:rFonts w:eastAsia="Calibri"/>
        </w:rPr>
        <w:t>MCPS</w:t>
      </w:r>
      <w:proofErr w:type="spellEnd"/>
      <w:r>
        <w:rPr>
          <w:rFonts w:eastAsia="Calibri"/>
        </w:rPr>
        <w:t xml:space="preserve"> </w:t>
      </w:r>
      <w:proofErr w:type="spellStart"/>
      <w:r>
        <w:rPr>
          <w:rFonts w:eastAsia="Calibri"/>
        </w:rPr>
        <w:t>CCN</w:t>
      </w:r>
      <w:proofErr w:type="spellEnd"/>
      <w:r>
        <w:rPr>
          <w:rFonts w:eastAsia="Calibri"/>
        </w:rPr>
        <w:t xml:space="preserve"> proceeding (Docket No. 46416).  In addition, Entergy has had experience constructing and placing in service other combined-cycle facilities in recent years, including the J. Wayne Leonard Power Station (formerly, St. Charles Power Station) and the Lake Charles Power Station that are owned and operated by Entergy Louisiana, LLC. </w:t>
      </w:r>
      <w:r>
        <w:t xml:space="preserve">   </w:t>
      </w:r>
    </w:p>
    <w:p w14:paraId="18D60B8F" w14:textId="77777777" w:rsidR="009A0F55" w:rsidRDefault="009A0F55">
      <w:pPr>
        <w:pStyle w:val="Answer"/>
      </w:pPr>
    </w:p>
    <w:p w14:paraId="18D60B90" w14:textId="77777777" w:rsidR="009A0F55" w:rsidRDefault="009F7119">
      <w:pPr>
        <w:pStyle w:val="Heading1"/>
      </w:pPr>
      <w:bookmarkStart w:id="21" w:name="_Toc82442936"/>
      <w:r>
        <w:t>Summary and Conclusion</w:t>
      </w:r>
      <w:bookmarkEnd w:id="21"/>
    </w:p>
    <w:p w14:paraId="18D60B91" w14:textId="77777777" w:rsidR="009A0F55" w:rsidRDefault="009F7119">
      <w:pPr>
        <w:pStyle w:val="QUESTION"/>
      </w:pPr>
      <w:r>
        <w:t>PLEASE SUMMARIZE YOUR DIRECT TESTIMONY.</w:t>
      </w:r>
    </w:p>
    <w:p w14:paraId="18D60B92" w14:textId="77777777" w:rsidR="009A0F55" w:rsidRDefault="009F7119">
      <w:pPr>
        <w:pStyle w:val="Answer"/>
      </w:pPr>
      <w:r>
        <w:t>A.</w:t>
      </w:r>
      <w:r>
        <w:tab/>
      </w:r>
      <w:proofErr w:type="spellStart"/>
      <w:r>
        <w:t>ETI</w:t>
      </w:r>
      <w:proofErr w:type="spellEnd"/>
      <w:r>
        <w:t xml:space="preserve"> requests that the Commission approve its application and find that construction of OCAPS will serve the public convenience and necessity.  OCAPS will provide approximately 1,215 MW of efficient, dual fuel, clean, and </w:t>
      </w:r>
      <w:proofErr w:type="spellStart"/>
      <w:r>
        <w:t>dispatchable</w:t>
      </w:r>
      <w:proofErr w:type="spellEnd"/>
      <w:r>
        <w:t xml:space="preserve"> </w:t>
      </w:r>
      <w:proofErr w:type="spellStart"/>
      <w:r>
        <w:t>CCCT</w:t>
      </w:r>
      <w:proofErr w:type="spellEnd"/>
      <w:r>
        <w:t xml:space="preserve"> capacity in </w:t>
      </w:r>
      <w:proofErr w:type="spellStart"/>
      <w:r>
        <w:t>ETI’s</w:t>
      </w:r>
      <w:proofErr w:type="spellEnd"/>
      <w:r>
        <w:t xml:space="preserve"> Eastern Region and serve as a foundational addition to the Company’s </w:t>
      </w:r>
      <w:r>
        <w:lastRenderedPageBreak/>
        <w:t xml:space="preserve">portfolio as it seeks to facilitate growth opportunities in Southeast Texas, replace aging generation with more efficient resources, produce significant total supply cost savings for customers, and improve system reliability for the benefit of all customers.  </w:t>
      </w:r>
    </w:p>
    <w:p w14:paraId="18D60B93" w14:textId="77777777" w:rsidR="009A0F55" w:rsidRDefault="009F7119">
      <w:pPr>
        <w:pStyle w:val="Answer2"/>
      </w:pPr>
      <w:r>
        <w:t xml:space="preserve">The testimonies and exhibits included with this filing demonstrate </w:t>
      </w:r>
      <w:proofErr w:type="spellStart"/>
      <w:r>
        <w:t>ETI’s</w:t>
      </w:r>
      <w:proofErr w:type="spellEnd"/>
      <w:r>
        <w:t xml:space="preserve"> current supply needs for long-term capacity and energy resources, that the Project addresses those needs at the lowest reasonable cost to customers, and that OCAPS will therefore serve the public convenience and necessity.  This Project will provide significant benefits for the region and help ensure affordable and reliable power for the citizens and businesses of Southeast Texas for many years to come.</w:t>
      </w:r>
    </w:p>
    <w:p w14:paraId="18D60B94" w14:textId="77777777" w:rsidR="009A0F55" w:rsidRDefault="009A0F55">
      <w:pPr>
        <w:pStyle w:val="Answer"/>
      </w:pPr>
    </w:p>
    <w:p w14:paraId="18D60B95" w14:textId="77777777" w:rsidR="009A0F55" w:rsidRDefault="009F7119">
      <w:pPr>
        <w:pStyle w:val="QUESTION"/>
      </w:pPr>
      <w:r>
        <w:t>DOES THIS CONCLUDE YOUR DIRECT TESTIMONY?</w:t>
      </w:r>
    </w:p>
    <w:p w14:paraId="18D60B96" w14:textId="77777777" w:rsidR="009A0F55" w:rsidRDefault="009F7119">
      <w:pPr>
        <w:pStyle w:val="Answer"/>
      </w:pPr>
      <w:r>
        <w:t>A.</w:t>
      </w:r>
      <w:r>
        <w:tab/>
        <w:t>Yes.</w:t>
      </w:r>
    </w:p>
    <w:sectPr w:rsidR="009A0F55">
      <w:footerReference w:type="default" r:id="rId23"/>
      <w:pgSz w:w="12240" w:h="15840" w:code="1"/>
      <w:pgMar w:top="1440" w:right="1440" w:bottom="1440" w:left="1440" w:header="720" w:footer="720" w:gutter="360"/>
      <w:lnNumType w:countBy="1"/>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EA511" w14:textId="77777777" w:rsidR="004A7ABE" w:rsidRDefault="004A7ABE">
      <w:r>
        <w:separator/>
      </w:r>
    </w:p>
  </w:endnote>
  <w:endnote w:type="continuationSeparator" w:id="0">
    <w:p w14:paraId="27DE9733" w14:textId="77777777" w:rsidR="004A7ABE" w:rsidRDefault="004A7ABE">
      <w:r>
        <w:continuationSeparator/>
      </w:r>
    </w:p>
  </w:endnote>
  <w:endnote w:type="continuationNotice" w:id="1">
    <w:p w14:paraId="43B7B3EA" w14:textId="77777777" w:rsidR="004A7ABE" w:rsidRDefault="004A7A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60BA5" w14:textId="77777777" w:rsidR="009A0F55" w:rsidRDefault="009F711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w:t>
    </w:r>
    <w:r>
      <w:rPr>
        <w:rStyle w:val="PageNumber"/>
      </w:rPr>
      <w:fldChar w:fldCharType="end"/>
    </w:r>
  </w:p>
  <w:p w14:paraId="18D60BA6" w14:textId="77777777" w:rsidR="009A0F55" w:rsidRDefault="009A0F5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2711AA" w14:textId="77777777" w:rsidR="00853381" w:rsidRDefault="0085338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F53F1" w14:textId="77777777" w:rsidR="00853381" w:rsidRDefault="0085338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60BAE" w14:textId="77777777" w:rsidR="009A0F55" w:rsidRDefault="009F7119">
    <w:pPr>
      <w:pStyle w:val="Footer"/>
      <w:jc w:val="center"/>
    </w:pPr>
    <w:r>
      <w:fldChar w:fldCharType="begin"/>
    </w:r>
    <w:r>
      <w:instrText xml:space="preserve"> PAGE   \* MERGEFORMAT </w:instrText>
    </w:r>
    <w:r>
      <w:fldChar w:fldCharType="separate"/>
    </w:r>
    <w:r>
      <w:rPr>
        <w:noProof/>
      </w:rPr>
      <w:t>ii</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60BAF" w14:textId="77777777" w:rsidR="009A0F55" w:rsidRDefault="009A0F55">
    <w:pPr>
      <w:pStyle w:val="Footer"/>
      <w:jc w:val="center"/>
      <w:rPr>
        <w:sz w:val="24"/>
        <w:szCs w:val="24"/>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60BB0" w14:textId="77777777" w:rsidR="009A0F55" w:rsidRDefault="009A0F55">
    <w:pPr>
      <w:pStyle w:val="Footer"/>
      <w:jc w:val="center"/>
      <w:rPr>
        <w:sz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0AD864" w14:textId="77777777" w:rsidR="004A7ABE" w:rsidRDefault="004A7ABE">
      <w:r>
        <w:separator/>
      </w:r>
    </w:p>
  </w:footnote>
  <w:footnote w:type="continuationSeparator" w:id="0">
    <w:p w14:paraId="78659F7F" w14:textId="77777777" w:rsidR="004A7ABE" w:rsidRDefault="004A7ABE">
      <w:r>
        <w:continuationSeparator/>
      </w:r>
    </w:p>
  </w:footnote>
  <w:footnote w:type="continuationNotice" w:id="1">
    <w:p w14:paraId="66EE50C8" w14:textId="77777777" w:rsidR="004A7ABE" w:rsidRDefault="004A7ABE"/>
  </w:footnote>
  <w:footnote w:id="2">
    <w:p w14:paraId="18D60BB1" w14:textId="77777777" w:rsidR="009A0F55" w:rsidRDefault="009F7119">
      <w:pPr>
        <w:pStyle w:val="FootnoteText"/>
      </w:pPr>
      <w:r>
        <w:rPr>
          <w:rStyle w:val="FootnoteReference"/>
        </w:rPr>
        <w:footnoteRef/>
      </w:r>
      <w:r>
        <w:tab/>
        <w:t xml:space="preserve">ESL (formerly, Entergy Services, Inc.) is an affiliate of the Entergy Operating Companies that provides engineering, planning, accounting, legal, technical, regulatory, and other administrative support services to each of the Entergy Operating Companies. </w:t>
      </w:r>
    </w:p>
  </w:footnote>
  <w:footnote w:id="3">
    <w:p w14:paraId="18D60BB2" w14:textId="77777777" w:rsidR="009A0F55" w:rsidRDefault="009F7119">
      <w:pPr>
        <w:pStyle w:val="FootnoteText"/>
      </w:pPr>
      <w:r>
        <w:rPr>
          <w:rStyle w:val="FootnoteReference"/>
        </w:rPr>
        <w:footnoteRef/>
      </w:r>
      <w:r>
        <w:tab/>
        <w:t>Public Utility Regulatory Act (“</w:t>
      </w:r>
      <w:proofErr w:type="spellStart"/>
      <w:r>
        <w:t>PURA</w:t>
      </w:r>
      <w:proofErr w:type="spellEnd"/>
      <w:r>
        <w:t>”) § 37.056(c</w:t>
      </w:r>
      <w:proofErr w:type="gramStart"/>
      <w:r>
        <w:t>)(</w:t>
      </w:r>
      <w:proofErr w:type="gramEnd"/>
      <w:r>
        <w:t>4)(E).</w:t>
      </w:r>
    </w:p>
  </w:footnote>
  <w:footnote w:id="4">
    <w:p w14:paraId="18D60BB3" w14:textId="77777777" w:rsidR="009A0F55" w:rsidRDefault="009F7119">
      <w:pPr>
        <w:pStyle w:val="FootnoteText"/>
      </w:pPr>
      <w:r>
        <w:rPr>
          <w:rStyle w:val="FootnoteReference"/>
        </w:rPr>
        <w:footnoteRef/>
      </w:r>
      <w:r>
        <w:tab/>
      </w:r>
      <w:r>
        <w:rPr>
          <w:i/>
        </w:rPr>
        <w:t>Application of Entergy Texas, Inc. to Amend its Certificate of Convenience and Necessity to Construct Montgomery County Power Station in Montgomery County</w:t>
      </w:r>
      <w:r>
        <w:t>, Docket No. 46416, Order (Jul. 28, 2017).</w:t>
      </w:r>
    </w:p>
  </w:footnote>
  <w:footnote w:id="5">
    <w:p w14:paraId="18D60BB4" w14:textId="77777777" w:rsidR="009A0F55" w:rsidRDefault="009F7119">
      <w:pPr>
        <w:pStyle w:val="FootnoteText"/>
      </w:pPr>
      <w:r>
        <w:rPr>
          <w:rStyle w:val="FootnoteReference"/>
        </w:rPr>
        <w:footnoteRef/>
      </w:r>
      <w:r>
        <w:tab/>
      </w:r>
      <w:r>
        <w:rPr>
          <w:i/>
        </w:rPr>
        <w:t>Application of Entergy Texas, Inc. to Amend its Certificate of Convenience and Necessity for the Acquisition of a Solar Facility in Liberty County</w:t>
      </w:r>
      <w:r>
        <w:t xml:space="preserve">, Docket No. 51215 (pending).  </w:t>
      </w:r>
      <w:proofErr w:type="spellStart"/>
      <w:r>
        <w:t>ETI</w:t>
      </w:r>
      <w:proofErr w:type="spellEnd"/>
      <w:r>
        <w:t xml:space="preserve"> has also recently executed a power purchase agreement for the development of a second solar facility in its service territory.</w:t>
      </w:r>
    </w:p>
  </w:footnote>
  <w:footnote w:id="6">
    <w:p w14:paraId="18D60BB5" w14:textId="77777777" w:rsidR="009A0F55" w:rsidRDefault="009F7119">
      <w:pPr>
        <w:pStyle w:val="FootnoteText"/>
      </w:pPr>
      <w:r>
        <w:rPr>
          <w:rStyle w:val="FootnoteReference"/>
        </w:rPr>
        <w:footnoteRef/>
      </w:r>
      <w:r>
        <w:tab/>
      </w:r>
      <w:proofErr w:type="spellStart"/>
      <w:r>
        <w:t>ETI’s</w:t>
      </w:r>
      <w:proofErr w:type="spellEnd"/>
      <w:r>
        <w:t xml:space="preserve"> Eastern Region lies wholly within the </w:t>
      </w:r>
      <w:proofErr w:type="spellStart"/>
      <w:r>
        <w:t>WOTAB</w:t>
      </w:r>
      <w:proofErr w:type="spellEnd"/>
      <w:r>
        <w:t xml:space="preserve"> load pocket and encompasses an area from the Texas/Louisiana state border on the east, the Gulf of Mexico on the south, the Western Region on the west, and the Southwest Power Pool on the north.  A map identifying the Eastern Region is provided as Exhibit DK-3 to the Direct Testimony of Company witness Daniel Kline.</w:t>
      </w:r>
    </w:p>
  </w:footnote>
  <w:footnote w:id="7">
    <w:p w14:paraId="18D60BB6" w14:textId="77777777" w:rsidR="009A0F55" w:rsidRDefault="009F7119">
      <w:pPr>
        <w:pStyle w:val="FootnoteText"/>
      </w:pPr>
      <w:r>
        <w:rPr>
          <w:rStyle w:val="FootnoteReference"/>
        </w:rPr>
        <w:footnoteRef/>
      </w:r>
      <w:r>
        <w:tab/>
      </w:r>
      <w:proofErr w:type="spellStart"/>
      <w:r>
        <w:t>PURA</w:t>
      </w:r>
      <w:proofErr w:type="spellEnd"/>
      <w:r>
        <w:t xml:space="preserve"> § 37.056(a).</w:t>
      </w:r>
    </w:p>
  </w:footnote>
  <w:footnote w:id="8">
    <w:p w14:paraId="18D60BB7" w14:textId="77777777" w:rsidR="009A0F55" w:rsidRDefault="009F7119">
      <w:pPr>
        <w:pStyle w:val="FootnoteText"/>
      </w:pPr>
      <w:r>
        <w:rPr>
          <w:rStyle w:val="FootnoteReference"/>
        </w:rPr>
        <w:footnoteRef/>
      </w:r>
      <w:r>
        <w:tab/>
      </w:r>
      <w:proofErr w:type="spellStart"/>
      <w:r>
        <w:t>PURA</w:t>
      </w:r>
      <w:proofErr w:type="spellEnd"/>
      <w:r>
        <w:t xml:space="preserve"> § 37.056(c). </w:t>
      </w:r>
    </w:p>
  </w:footnote>
  <w:footnote w:id="9">
    <w:p w14:paraId="18D60BB8" w14:textId="77777777" w:rsidR="009A0F55" w:rsidRDefault="009F7119">
      <w:pPr>
        <w:pStyle w:val="FootnoteText"/>
      </w:pPr>
      <w:r>
        <w:rPr>
          <w:rStyle w:val="FootnoteReference"/>
        </w:rPr>
        <w:footnoteRef/>
      </w:r>
      <w:r>
        <w:tab/>
        <w:t xml:space="preserve">Company witnesses Ms. Weaver, Mr. Owens, Mr. Kline, and Mr. Magee collectively describe the circumstances giving rise to </w:t>
      </w:r>
      <w:proofErr w:type="spellStart"/>
      <w:r>
        <w:t>ETI’s</w:t>
      </w:r>
      <w:proofErr w:type="spellEnd"/>
      <w:r>
        <w:t xml:space="preserve"> resource planning objectives.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921BF" w14:textId="77777777" w:rsidR="00853381" w:rsidRDefault="008533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FD382B" w14:textId="77777777" w:rsidR="00853381" w:rsidRDefault="0085338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60BA7" w14:textId="77777777" w:rsidR="009A0F55" w:rsidRDefault="009A0F55">
    <w:pPr>
      <w:tabs>
        <w:tab w:val="left" w:pos="2880"/>
        <w:tab w:val="center" w:pos="4680"/>
        <w:tab w:val="center" w:pos="5040"/>
        <w:tab w:val="right" w:pos="9000"/>
        <w:tab w:val="right" w:pos="9360"/>
      </w:tabs>
      <w:rPr>
        <w:rFonts w:eastAsia="Calibri"/>
        <w:sz w:val="20"/>
        <w:szCs w:val="20"/>
      </w:rPr>
    </w:pPr>
  </w:p>
  <w:p w14:paraId="18D60BA8" w14:textId="77777777" w:rsidR="009A0F55" w:rsidRDefault="009A0F5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60BA9" w14:textId="2AD6D0F6" w:rsidR="009A0F55" w:rsidRDefault="009F7119">
    <w:pPr>
      <w:tabs>
        <w:tab w:val="right" w:pos="9000"/>
      </w:tabs>
      <w:rPr>
        <w:rFonts w:eastAsia="Calibri"/>
        <w:sz w:val="20"/>
        <w:szCs w:val="20"/>
      </w:rPr>
    </w:pPr>
    <w:r>
      <w:rPr>
        <w:rFonts w:eastAsia="Calibri"/>
        <w:sz w:val="20"/>
        <w:szCs w:val="20"/>
      </w:rPr>
      <w:t>Entergy Texas, Inc.</w:t>
    </w:r>
    <w:r>
      <w:rPr>
        <w:rFonts w:eastAsia="Calibri"/>
        <w:sz w:val="20"/>
        <w:szCs w:val="20"/>
      </w:rPr>
      <w:tab/>
      <w:t xml:space="preserve">Page </w:t>
    </w:r>
    <w:r>
      <w:rPr>
        <w:rFonts w:eastAsia="Calibri"/>
        <w:sz w:val="20"/>
        <w:szCs w:val="20"/>
      </w:rPr>
      <w:fldChar w:fldCharType="begin"/>
    </w:r>
    <w:r>
      <w:rPr>
        <w:rFonts w:eastAsia="Calibri"/>
        <w:sz w:val="20"/>
        <w:szCs w:val="20"/>
      </w:rPr>
      <w:instrText xml:space="preserve"> PAGE   \* MERGEFORMAT </w:instrText>
    </w:r>
    <w:r>
      <w:rPr>
        <w:rFonts w:eastAsia="Calibri"/>
        <w:sz w:val="20"/>
        <w:szCs w:val="20"/>
      </w:rPr>
      <w:fldChar w:fldCharType="separate"/>
    </w:r>
    <w:r w:rsidR="00CF33FB">
      <w:rPr>
        <w:rFonts w:eastAsia="Calibri"/>
        <w:noProof/>
        <w:sz w:val="20"/>
        <w:szCs w:val="20"/>
      </w:rPr>
      <w:t>24</w:t>
    </w:r>
    <w:r>
      <w:rPr>
        <w:rFonts w:eastAsia="Calibri"/>
        <w:sz w:val="20"/>
        <w:szCs w:val="20"/>
      </w:rPr>
      <w:fldChar w:fldCharType="end"/>
    </w:r>
    <w:r>
      <w:rPr>
        <w:rFonts w:eastAsia="Calibri"/>
        <w:sz w:val="20"/>
        <w:szCs w:val="20"/>
      </w:rPr>
      <w:t xml:space="preserve"> of </w:t>
    </w:r>
    <w:r>
      <w:rPr>
        <w:rFonts w:eastAsia="Calibri"/>
        <w:sz w:val="20"/>
        <w:szCs w:val="20"/>
      </w:rPr>
      <w:fldChar w:fldCharType="begin"/>
    </w:r>
    <w:r>
      <w:rPr>
        <w:rFonts w:eastAsia="Calibri"/>
        <w:sz w:val="20"/>
        <w:szCs w:val="20"/>
      </w:rPr>
      <w:instrText xml:space="preserve"> SECTIONPAGES   \* MERGEFORMAT </w:instrText>
    </w:r>
    <w:r>
      <w:rPr>
        <w:rFonts w:eastAsia="Calibri"/>
        <w:sz w:val="20"/>
        <w:szCs w:val="20"/>
      </w:rPr>
      <w:fldChar w:fldCharType="separate"/>
    </w:r>
    <w:r w:rsidR="00CF33FB">
      <w:rPr>
        <w:rFonts w:eastAsia="Calibri"/>
        <w:noProof/>
        <w:sz w:val="20"/>
        <w:szCs w:val="20"/>
      </w:rPr>
      <w:t>25</w:t>
    </w:r>
    <w:r>
      <w:rPr>
        <w:rFonts w:eastAsia="Calibri"/>
        <w:sz w:val="20"/>
        <w:szCs w:val="20"/>
      </w:rPr>
      <w:fldChar w:fldCharType="end"/>
    </w:r>
  </w:p>
  <w:p w14:paraId="18D60BAA" w14:textId="77777777" w:rsidR="009A0F55" w:rsidRDefault="009F7119">
    <w:pPr>
      <w:tabs>
        <w:tab w:val="center" w:pos="5040"/>
        <w:tab w:val="right" w:pos="9180"/>
      </w:tabs>
      <w:rPr>
        <w:sz w:val="20"/>
        <w:szCs w:val="20"/>
      </w:rPr>
    </w:pPr>
    <w:r>
      <w:rPr>
        <w:sz w:val="20"/>
        <w:szCs w:val="20"/>
      </w:rPr>
      <w:t>Direct Testimony of Sallie T. Rainer</w:t>
    </w:r>
  </w:p>
  <w:p w14:paraId="18D60BAB" w14:textId="77777777" w:rsidR="009A0F55" w:rsidRDefault="009F7119">
    <w:pPr>
      <w:tabs>
        <w:tab w:val="left" w:pos="2340"/>
        <w:tab w:val="center" w:pos="4680"/>
        <w:tab w:val="center" w:pos="5040"/>
        <w:tab w:val="right" w:pos="9000"/>
        <w:tab w:val="right" w:pos="9360"/>
      </w:tabs>
      <w:rPr>
        <w:rFonts w:eastAsia="Calibri"/>
        <w:sz w:val="20"/>
        <w:szCs w:val="20"/>
      </w:rPr>
    </w:pPr>
    <w:r>
      <w:rPr>
        <w:rFonts w:eastAsia="Calibri"/>
        <w:sz w:val="20"/>
        <w:szCs w:val="20"/>
      </w:rPr>
      <w:t>Docket No. 52487</w:t>
    </w:r>
  </w:p>
  <w:p w14:paraId="18D60BAC" w14:textId="77777777" w:rsidR="009A0F55" w:rsidRDefault="009A0F55">
    <w:pPr>
      <w:pStyle w:val="Header"/>
      <w:tabs>
        <w:tab w:val="clear" w:pos="8640"/>
        <w:tab w:val="center" w:pos="2880"/>
        <w:tab w:val="right" w:pos="9000"/>
      </w:tabs>
      <w:rPr>
        <w:szCs w:val="18"/>
      </w:rPr>
    </w:pPr>
  </w:p>
  <w:p w14:paraId="18D60BAD" w14:textId="77777777" w:rsidR="009A0F55" w:rsidRDefault="009A0F55">
    <w:pPr>
      <w:pStyle w:val="Header"/>
      <w:tabs>
        <w:tab w:val="clear" w:pos="8640"/>
        <w:tab w:val="center" w:pos="2880"/>
        <w:tab w:val="right" w:pos="9000"/>
      </w:tabs>
      <w:rPr>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44CB33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hybridMultilevel"/>
    <w:tmpl w:val="314CAF70"/>
    <w:lvl w:ilvl="0" w:tplc="F3F82FA8">
      <w:start w:val="1"/>
      <w:numFmt w:val="decimal"/>
      <w:pStyle w:val="ListNumber4"/>
      <w:lvlText w:val="%1."/>
      <w:lvlJc w:val="left"/>
      <w:pPr>
        <w:tabs>
          <w:tab w:val="num" w:pos="1440"/>
        </w:tabs>
        <w:ind w:left="1440" w:hanging="360"/>
      </w:pPr>
    </w:lvl>
    <w:lvl w:ilvl="1" w:tplc="8626C918">
      <w:numFmt w:val="decimal"/>
      <w:lvlText w:val=""/>
      <w:lvlJc w:val="left"/>
    </w:lvl>
    <w:lvl w:ilvl="2" w:tplc="54001106">
      <w:numFmt w:val="decimal"/>
      <w:lvlText w:val=""/>
      <w:lvlJc w:val="left"/>
    </w:lvl>
    <w:lvl w:ilvl="3" w:tplc="6FD01080">
      <w:numFmt w:val="decimal"/>
      <w:lvlText w:val=""/>
      <w:lvlJc w:val="left"/>
    </w:lvl>
    <w:lvl w:ilvl="4" w:tplc="7C900028">
      <w:numFmt w:val="decimal"/>
      <w:lvlText w:val=""/>
      <w:lvlJc w:val="left"/>
    </w:lvl>
    <w:lvl w:ilvl="5" w:tplc="4A3070A8">
      <w:numFmt w:val="decimal"/>
      <w:lvlText w:val=""/>
      <w:lvlJc w:val="left"/>
    </w:lvl>
    <w:lvl w:ilvl="6" w:tplc="7018B004">
      <w:numFmt w:val="decimal"/>
      <w:lvlText w:val=""/>
      <w:lvlJc w:val="left"/>
    </w:lvl>
    <w:lvl w:ilvl="7" w:tplc="2A0697D6">
      <w:numFmt w:val="decimal"/>
      <w:lvlText w:val=""/>
      <w:lvlJc w:val="left"/>
    </w:lvl>
    <w:lvl w:ilvl="8" w:tplc="58D8CEF8">
      <w:numFmt w:val="decimal"/>
      <w:lvlText w:val=""/>
      <w:lvlJc w:val="left"/>
    </w:lvl>
  </w:abstractNum>
  <w:abstractNum w:abstractNumId="2" w15:restartNumberingAfterBreak="0">
    <w:nsid w:val="FFFFFF7E"/>
    <w:multiLevelType w:val="hybridMultilevel"/>
    <w:tmpl w:val="716A7EEE"/>
    <w:lvl w:ilvl="0" w:tplc="ADAC2972">
      <w:start w:val="1"/>
      <w:numFmt w:val="decimal"/>
      <w:pStyle w:val="ListNumber3"/>
      <w:lvlText w:val="%1."/>
      <w:lvlJc w:val="left"/>
      <w:pPr>
        <w:tabs>
          <w:tab w:val="num" w:pos="1080"/>
        </w:tabs>
        <w:ind w:left="1080" w:hanging="360"/>
      </w:pPr>
    </w:lvl>
    <w:lvl w:ilvl="1" w:tplc="70120028">
      <w:numFmt w:val="decimal"/>
      <w:lvlText w:val=""/>
      <w:lvlJc w:val="left"/>
    </w:lvl>
    <w:lvl w:ilvl="2" w:tplc="7C8807D0">
      <w:numFmt w:val="decimal"/>
      <w:lvlText w:val=""/>
      <w:lvlJc w:val="left"/>
    </w:lvl>
    <w:lvl w:ilvl="3" w:tplc="0B16A1EA">
      <w:numFmt w:val="decimal"/>
      <w:lvlText w:val=""/>
      <w:lvlJc w:val="left"/>
    </w:lvl>
    <w:lvl w:ilvl="4" w:tplc="21FC4AA0">
      <w:numFmt w:val="decimal"/>
      <w:lvlText w:val=""/>
      <w:lvlJc w:val="left"/>
    </w:lvl>
    <w:lvl w:ilvl="5" w:tplc="751C2F72">
      <w:numFmt w:val="decimal"/>
      <w:lvlText w:val=""/>
      <w:lvlJc w:val="left"/>
    </w:lvl>
    <w:lvl w:ilvl="6" w:tplc="AA32C48A">
      <w:numFmt w:val="decimal"/>
      <w:lvlText w:val=""/>
      <w:lvlJc w:val="left"/>
    </w:lvl>
    <w:lvl w:ilvl="7" w:tplc="9F46EF94">
      <w:numFmt w:val="decimal"/>
      <w:lvlText w:val=""/>
      <w:lvlJc w:val="left"/>
    </w:lvl>
    <w:lvl w:ilvl="8" w:tplc="A502C56E">
      <w:numFmt w:val="decimal"/>
      <w:lvlText w:val=""/>
      <w:lvlJc w:val="left"/>
    </w:lvl>
  </w:abstractNum>
  <w:abstractNum w:abstractNumId="3" w15:restartNumberingAfterBreak="0">
    <w:nsid w:val="FFFFFF7F"/>
    <w:multiLevelType w:val="hybridMultilevel"/>
    <w:tmpl w:val="C908F2AC"/>
    <w:lvl w:ilvl="0" w:tplc="A7EEE88A">
      <w:start w:val="1"/>
      <w:numFmt w:val="decimal"/>
      <w:pStyle w:val="ListNumber2"/>
      <w:lvlText w:val="%1."/>
      <w:lvlJc w:val="left"/>
      <w:pPr>
        <w:tabs>
          <w:tab w:val="num" w:pos="720"/>
        </w:tabs>
        <w:ind w:left="720" w:hanging="360"/>
      </w:pPr>
    </w:lvl>
    <w:lvl w:ilvl="1" w:tplc="8CD6668A">
      <w:numFmt w:val="decimal"/>
      <w:lvlText w:val=""/>
      <w:lvlJc w:val="left"/>
    </w:lvl>
    <w:lvl w:ilvl="2" w:tplc="566CCC88">
      <w:numFmt w:val="decimal"/>
      <w:lvlText w:val=""/>
      <w:lvlJc w:val="left"/>
    </w:lvl>
    <w:lvl w:ilvl="3" w:tplc="0B840D26">
      <w:numFmt w:val="decimal"/>
      <w:lvlText w:val=""/>
      <w:lvlJc w:val="left"/>
    </w:lvl>
    <w:lvl w:ilvl="4" w:tplc="B70A8266">
      <w:numFmt w:val="decimal"/>
      <w:lvlText w:val=""/>
      <w:lvlJc w:val="left"/>
    </w:lvl>
    <w:lvl w:ilvl="5" w:tplc="11D6C48A">
      <w:numFmt w:val="decimal"/>
      <w:lvlText w:val=""/>
      <w:lvlJc w:val="left"/>
    </w:lvl>
    <w:lvl w:ilvl="6" w:tplc="5EFA2AA0">
      <w:numFmt w:val="decimal"/>
      <w:lvlText w:val=""/>
      <w:lvlJc w:val="left"/>
    </w:lvl>
    <w:lvl w:ilvl="7" w:tplc="8F2CF5E2">
      <w:numFmt w:val="decimal"/>
      <w:lvlText w:val=""/>
      <w:lvlJc w:val="left"/>
    </w:lvl>
    <w:lvl w:ilvl="8" w:tplc="60F4FD9C">
      <w:numFmt w:val="decimal"/>
      <w:lvlText w:val=""/>
      <w:lvlJc w:val="left"/>
    </w:lvl>
  </w:abstractNum>
  <w:abstractNum w:abstractNumId="4" w15:restartNumberingAfterBreak="0">
    <w:nsid w:val="FFFFFF80"/>
    <w:multiLevelType w:val="hybridMultilevel"/>
    <w:tmpl w:val="10563556"/>
    <w:lvl w:ilvl="0" w:tplc="C78CE1E0">
      <w:start w:val="1"/>
      <w:numFmt w:val="bullet"/>
      <w:pStyle w:val="ListBullet5"/>
      <w:lvlText w:val=""/>
      <w:lvlJc w:val="left"/>
      <w:pPr>
        <w:tabs>
          <w:tab w:val="num" w:pos="1800"/>
        </w:tabs>
        <w:ind w:left="1800" w:hanging="360"/>
      </w:pPr>
      <w:rPr>
        <w:rFonts w:ascii="Symbol" w:hAnsi="Symbol" w:hint="default"/>
      </w:rPr>
    </w:lvl>
    <w:lvl w:ilvl="1" w:tplc="03787A58">
      <w:numFmt w:val="decimal"/>
      <w:lvlText w:val=""/>
      <w:lvlJc w:val="left"/>
    </w:lvl>
    <w:lvl w:ilvl="2" w:tplc="E39EA212">
      <w:numFmt w:val="decimal"/>
      <w:lvlText w:val=""/>
      <w:lvlJc w:val="left"/>
    </w:lvl>
    <w:lvl w:ilvl="3" w:tplc="10E0B4FE">
      <w:numFmt w:val="decimal"/>
      <w:lvlText w:val=""/>
      <w:lvlJc w:val="left"/>
    </w:lvl>
    <w:lvl w:ilvl="4" w:tplc="108AE482">
      <w:numFmt w:val="decimal"/>
      <w:lvlText w:val=""/>
      <w:lvlJc w:val="left"/>
    </w:lvl>
    <w:lvl w:ilvl="5" w:tplc="CD245CDA">
      <w:numFmt w:val="decimal"/>
      <w:lvlText w:val=""/>
      <w:lvlJc w:val="left"/>
    </w:lvl>
    <w:lvl w:ilvl="6" w:tplc="7D940BA4">
      <w:numFmt w:val="decimal"/>
      <w:lvlText w:val=""/>
      <w:lvlJc w:val="left"/>
    </w:lvl>
    <w:lvl w:ilvl="7" w:tplc="FC6EA3CE">
      <w:numFmt w:val="decimal"/>
      <w:lvlText w:val=""/>
      <w:lvlJc w:val="left"/>
    </w:lvl>
    <w:lvl w:ilvl="8" w:tplc="A876319C">
      <w:numFmt w:val="decimal"/>
      <w:lvlText w:val=""/>
      <w:lvlJc w:val="left"/>
    </w:lvl>
  </w:abstractNum>
  <w:abstractNum w:abstractNumId="5" w15:restartNumberingAfterBreak="0">
    <w:nsid w:val="FFFFFF81"/>
    <w:multiLevelType w:val="hybridMultilevel"/>
    <w:tmpl w:val="517446BE"/>
    <w:lvl w:ilvl="0" w:tplc="B73048CA">
      <w:start w:val="1"/>
      <w:numFmt w:val="bullet"/>
      <w:pStyle w:val="ListBullet4"/>
      <w:lvlText w:val=""/>
      <w:lvlJc w:val="left"/>
      <w:pPr>
        <w:tabs>
          <w:tab w:val="num" w:pos="1440"/>
        </w:tabs>
        <w:ind w:left="1440" w:hanging="360"/>
      </w:pPr>
      <w:rPr>
        <w:rFonts w:ascii="Symbol" w:hAnsi="Symbol" w:hint="default"/>
      </w:rPr>
    </w:lvl>
    <w:lvl w:ilvl="1" w:tplc="D528F8E0">
      <w:numFmt w:val="decimal"/>
      <w:lvlText w:val=""/>
      <w:lvlJc w:val="left"/>
    </w:lvl>
    <w:lvl w:ilvl="2" w:tplc="3F88A184">
      <w:numFmt w:val="decimal"/>
      <w:lvlText w:val=""/>
      <w:lvlJc w:val="left"/>
    </w:lvl>
    <w:lvl w:ilvl="3" w:tplc="D136C346">
      <w:numFmt w:val="decimal"/>
      <w:lvlText w:val=""/>
      <w:lvlJc w:val="left"/>
    </w:lvl>
    <w:lvl w:ilvl="4" w:tplc="CEC610AE">
      <w:numFmt w:val="decimal"/>
      <w:lvlText w:val=""/>
      <w:lvlJc w:val="left"/>
    </w:lvl>
    <w:lvl w:ilvl="5" w:tplc="39E2F06C">
      <w:numFmt w:val="decimal"/>
      <w:lvlText w:val=""/>
      <w:lvlJc w:val="left"/>
    </w:lvl>
    <w:lvl w:ilvl="6" w:tplc="EFF0662E">
      <w:numFmt w:val="decimal"/>
      <w:lvlText w:val=""/>
      <w:lvlJc w:val="left"/>
    </w:lvl>
    <w:lvl w:ilvl="7" w:tplc="68561B20">
      <w:numFmt w:val="decimal"/>
      <w:lvlText w:val=""/>
      <w:lvlJc w:val="left"/>
    </w:lvl>
    <w:lvl w:ilvl="8" w:tplc="09E2A534">
      <w:numFmt w:val="decimal"/>
      <w:lvlText w:val=""/>
      <w:lvlJc w:val="left"/>
    </w:lvl>
  </w:abstractNum>
  <w:abstractNum w:abstractNumId="6" w15:restartNumberingAfterBreak="0">
    <w:nsid w:val="FFFFFF82"/>
    <w:multiLevelType w:val="hybridMultilevel"/>
    <w:tmpl w:val="29AAC3AC"/>
    <w:lvl w:ilvl="0" w:tplc="C99CEF4A">
      <w:start w:val="1"/>
      <w:numFmt w:val="bullet"/>
      <w:pStyle w:val="ListBullet3"/>
      <w:lvlText w:val=""/>
      <w:lvlJc w:val="left"/>
      <w:pPr>
        <w:tabs>
          <w:tab w:val="num" w:pos="1080"/>
        </w:tabs>
        <w:ind w:left="1080" w:hanging="360"/>
      </w:pPr>
      <w:rPr>
        <w:rFonts w:ascii="Symbol" w:hAnsi="Symbol" w:hint="default"/>
      </w:rPr>
    </w:lvl>
    <w:lvl w:ilvl="1" w:tplc="7B8E7C50">
      <w:numFmt w:val="decimal"/>
      <w:lvlText w:val=""/>
      <w:lvlJc w:val="left"/>
    </w:lvl>
    <w:lvl w:ilvl="2" w:tplc="8692F7F0">
      <w:numFmt w:val="decimal"/>
      <w:lvlText w:val=""/>
      <w:lvlJc w:val="left"/>
    </w:lvl>
    <w:lvl w:ilvl="3" w:tplc="5B322B52">
      <w:numFmt w:val="decimal"/>
      <w:lvlText w:val=""/>
      <w:lvlJc w:val="left"/>
    </w:lvl>
    <w:lvl w:ilvl="4" w:tplc="5534FD90">
      <w:numFmt w:val="decimal"/>
      <w:lvlText w:val=""/>
      <w:lvlJc w:val="left"/>
    </w:lvl>
    <w:lvl w:ilvl="5" w:tplc="FFFCF140">
      <w:numFmt w:val="decimal"/>
      <w:lvlText w:val=""/>
      <w:lvlJc w:val="left"/>
    </w:lvl>
    <w:lvl w:ilvl="6" w:tplc="AF165A6C">
      <w:numFmt w:val="decimal"/>
      <w:lvlText w:val=""/>
      <w:lvlJc w:val="left"/>
    </w:lvl>
    <w:lvl w:ilvl="7" w:tplc="36AA6E82">
      <w:numFmt w:val="decimal"/>
      <w:lvlText w:val=""/>
      <w:lvlJc w:val="left"/>
    </w:lvl>
    <w:lvl w:ilvl="8" w:tplc="08282FD4">
      <w:numFmt w:val="decimal"/>
      <w:lvlText w:val=""/>
      <w:lvlJc w:val="left"/>
    </w:lvl>
  </w:abstractNum>
  <w:abstractNum w:abstractNumId="7" w15:restartNumberingAfterBreak="0">
    <w:nsid w:val="FFFFFF83"/>
    <w:multiLevelType w:val="hybridMultilevel"/>
    <w:tmpl w:val="6C789C40"/>
    <w:lvl w:ilvl="0" w:tplc="61BA839E">
      <w:start w:val="1"/>
      <w:numFmt w:val="bullet"/>
      <w:pStyle w:val="ListBullet2"/>
      <w:lvlText w:val=""/>
      <w:lvlJc w:val="left"/>
      <w:pPr>
        <w:tabs>
          <w:tab w:val="num" w:pos="720"/>
        </w:tabs>
        <w:ind w:left="720" w:hanging="360"/>
      </w:pPr>
      <w:rPr>
        <w:rFonts w:ascii="Symbol" w:hAnsi="Symbol" w:hint="default"/>
      </w:rPr>
    </w:lvl>
    <w:lvl w:ilvl="1" w:tplc="C6567DF4">
      <w:numFmt w:val="decimal"/>
      <w:lvlText w:val=""/>
      <w:lvlJc w:val="left"/>
    </w:lvl>
    <w:lvl w:ilvl="2" w:tplc="96024DA6">
      <w:numFmt w:val="decimal"/>
      <w:lvlText w:val=""/>
      <w:lvlJc w:val="left"/>
    </w:lvl>
    <w:lvl w:ilvl="3" w:tplc="5AAA982A">
      <w:numFmt w:val="decimal"/>
      <w:lvlText w:val=""/>
      <w:lvlJc w:val="left"/>
    </w:lvl>
    <w:lvl w:ilvl="4" w:tplc="0654333A">
      <w:numFmt w:val="decimal"/>
      <w:lvlText w:val=""/>
      <w:lvlJc w:val="left"/>
    </w:lvl>
    <w:lvl w:ilvl="5" w:tplc="A4861E50">
      <w:numFmt w:val="decimal"/>
      <w:lvlText w:val=""/>
      <w:lvlJc w:val="left"/>
    </w:lvl>
    <w:lvl w:ilvl="6" w:tplc="249AA5E4">
      <w:numFmt w:val="decimal"/>
      <w:lvlText w:val=""/>
      <w:lvlJc w:val="left"/>
    </w:lvl>
    <w:lvl w:ilvl="7" w:tplc="CFB294C8">
      <w:numFmt w:val="decimal"/>
      <w:lvlText w:val=""/>
      <w:lvlJc w:val="left"/>
    </w:lvl>
    <w:lvl w:ilvl="8" w:tplc="3A54102C">
      <w:numFmt w:val="decimal"/>
      <w:lvlText w:val=""/>
      <w:lvlJc w:val="left"/>
    </w:lvl>
  </w:abstractNum>
  <w:abstractNum w:abstractNumId="8" w15:restartNumberingAfterBreak="0">
    <w:nsid w:val="FFFFFF88"/>
    <w:multiLevelType w:val="hybridMultilevel"/>
    <w:tmpl w:val="DB5005C6"/>
    <w:lvl w:ilvl="0" w:tplc="9FBEEE06">
      <w:start w:val="1"/>
      <w:numFmt w:val="decimal"/>
      <w:pStyle w:val="ListNumber"/>
      <w:lvlText w:val="%1."/>
      <w:lvlJc w:val="left"/>
      <w:pPr>
        <w:tabs>
          <w:tab w:val="num" w:pos="360"/>
        </w:tabs>
        <w:ind w:left="360" w:hanging="360"/>
      </w:pPr>
    </w:lvl>
    <w:lvl w:ilvl="1" w:tplc="EE467E94">
      <w:numFmt w:val="decimal"/>
      <w:lvlText w:val=""/>
      <w:lvlJc w:val="left"/>
    </w:lvl>
    <w:lvl w:ilvl="2" w:tplc="91D29BCC">
      <w:numFmt w:val="decimal"/>
      <w:lvlText w:val=""/>
      <w:lvlJc w:val="left"/>
    </w:lvl>
    <w:lvl w:ilvl="3" w:tplc="7C7E7892">
      <w:numFmt w:val="decimal"/>
      <w:lvlText w:val=""/>
      <w:lvlJc w:val="left"/>
    </w:lvl>
    <w:lvl w:ilvl="4" w:tplc="F482AE7A">
      <w:numFmt w:val="decimal"/>
      <w:lvlText w:val=""/>
      <w:lvlJc w:val="left"/>
    </w:lvl>
    <w:lvl w:ilvl="5" w:tplc="13EEEE70">
      <w:numFmt w:val="decimal"/>
      <w:lvlText w:val=""/>
      <w:lvlJc w:val="left"/>
    </w:lvl>
    <w:lvl w:ilvl="6" w:tplc="BD52A010">
      <w:numFmt w:val="decimal"/>
      <w:lvlText w:val=""/>
      <w:lvlJc w:val="left"/>
    </w:lvl>
    <w:lvl w:ilvl="7" w:tplc="0BD658AC">
      <w:numFmt w:val="decimal"/>
      <w:lvlText w:val=""/>
      <w:lvlJc w:val="left"/>
    </w:lvl>
    <w:lvl w:ilvl="8" w:tplc="26D043BC">
      <w:numFmt w:val="decimal"/>
      <w:lvlText w:val=""/>
      <w:lvlJc w:val="left"/>
    </w:lvl>
  </w:abstractNum>
  <w:abstractNum w:abstractNumId="9" w15:restartNumberingAfterBreak="0">
    <w:nsid w:val="FFFFFF89"/>
    <w:multiLevelType w:val="hybridMultilevel"/>
    <w:tmpl w:val="6FFEC7D2"/>
    <w:lvl w:ilvl="0" w:tplc="F280D99A">
      <w:start w:val="1"/>
      <w:numFmt w:val="bullet"/>
      <w:pStyle w:val="ListBullet"/>
      <w:lvlText w:val=""/>
      <w:lvlJc w:val="left"/>
      <w:pPr>
        <w:tabs>
          <w:tab w:val="num" w:pos="360"/>
        </w:tabs>
        <w:ind w:left="360" w:hanging="360"/>
      </w:pPr>
      <w:rPr>
        <w:rFonts w:ascii="Symbol" w:hAnsi="Symbol" w:hint="default"/>
      </w:rPr>
    </w:lvl>
    <w:lvl w:ilvl="1" w:tplc="9D24F9EE">
      <w:numFmt w:val="decimal"/>
      <w:lvlText w:val=""/>
      <w:lvlJc w:val="left"/>
    </w:lvl>
    <w:lvl w:ilvl="2" w:tplc="E4FE6FA8">
      <w:numFmt w:val="decimal"/>
      <w:lvlText w:val=""/>
      <w:lvlJc w:val="left"/>
    </w:lvl>
    <w:lvl w:ilvl="3" w:tplc="047C8318">
      <w:numFmt w:val="decimal"/>
      <w:lvlText w:val=""/>
      <w:lvlJc w:val="left"/>
    </w:lvl>
    <w:lvl w:ilvl="4" w:tplc="921CAC98">
      <w:numFmt w:val="decimal"/>
      <w:lvlText w:val=""/>
      <w:lvlJc w:val="left"/>
    </w:lvl>
    <w:lvl w:ilvl="5" w:tplc="C3FC1404">
      <w:numFmt w:val="decimal"/>
      <w:lvlText w:val=""/>
      <w:lvlJc w:val="left"/>
    </w:lvl>
    <w:lvl w:ilvl="6" w:tplc="577485EC">
      <w:numFmt w:val="decimal"/>
      <w:lvlText w:val=""/>
      <w:lvlJc w:val="left"/>
    </w:lvl>
    <w:lvl w:ilvl="7" w:tplc="31C0FC90">
      <w:numFmt w:val="decimal"/>
      <w:lvlText w:val=""/>
      <w:lvlJc w:val="left"/>
    </w:lvl>
    <w:lvl w:ilvl="8" w:tplc="D50A6F0E">
      <w:numFmt w:val="decimal"/>
      <w:lvlText w:val=""/>
      <w:lvlJc w:val="left"/>
    </w:lvl>
  </w:abstractNum>
  <w:abstractNum w:abstractNumId="10" w15:restartNumberingAfterBreak="0">
    <w:nsid w:val="0B3C2A06"/>
    <w:multiLevelType w:val="hybridMultilevel"/>
    <w:tmpl w:val="BD0C2B76"/>
    <w:lvl w:ilvl="0" w:tplc="85EA03E0">
      <w:start w:val="1"/>
      <w:numFmt w:val="decimal"/>
      <w:pStyle w:val="QUESTION"/>
      <w:lvlText w:val="Q%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382D2F"/>
    <w:multiLevelType w:val="hybridMultilevel"/>
    <w:tmpl w:val="3FD64052"/>
    <w:lvl w:ilvl="0" w:tplc="88A23922">
      <w:start w:val="1"/>
      <w:numFmt w:val="upperLetter"/>
      <w:pStyle w:val="ETIAnswer"/>
      <w:lvlText w:val="%1."/>
      <w:lvlJc w:val="left"/>
      <w:pPr>
        <w:ind w:left="720"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4E29AC"/>
    <w:multiLevelType w:val="hybridMultilevel"/>
    <w:tmpl w:val="87E847DA"/>
    <w:lvl w:ilvl="0" w:tplc="C2BEA99E">
      <w:start w:val="1"/>
      <w:numFmt w:val="upperRoman"/>
      <w:pStyle w:val="Heading1"/>
      <w:lvlText w:val="%1."/>
      <w:lvlJc w:val="center"/>
      <w:pPr>
        <w:ind w:left="360" w:hanging="360"/>
      </w:pPr>
      <w:rPr>
        <w:rFonts w:ascii="Times New Roman" w:hAnsi="Times New Roman" w:cs="Times New Roman" w:hint="default"/>
        <w:b/>
        <w:bCs w:val="0"/>
        <w:i w:val="0"/>
        <w:iCs w:val="0"/>
        <w:caps w:val="0"/>
        <w:strike w:val="0"/>
        <w:dstrike w:val="0"/>
        <w:vanish w:val="0"/>
        <w:color w:val="000000"/>
        <w:spacing w:val="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A48656CE">
      <w:start w:val="1"/>
      <w:numFmt w:val="decimal"/>
      <w:lvlText w:val="(%2)"/>
      <w:lvlJc w:val="left"/>
      <w:pPr>
        <w:tabs>
          <w:tab w:val="num" w:pos="1440"/>
        </w:tabs>
        <w:ind w:left="1440" w:hanging="360"/>
      </w:pPr>
      <w:rPr>
        <w:rFonts w:hint="default"/>
      </w:rPr>
    </w:lvl>
    <w:lvl w:ilvl="2" w:tplc="AA42353A">
      <w:start w:val="1"/>
      <w:numFmt w:val="upperLetter"/>
      <w:lvlText w:val="%3."/>
      <w:lvlJc w:val="left"/>
      <w:pPr>
        <w:ind w:left="720" w:hanging="72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34682A"/>
    <w:multiLevelType w:val="hybridMultilevel"/>
    <w:tmpl w:val="EE92E19E"/>
    <w:lvl w:ilvl="0" w:tplc="0F5EF38C">
      <w:start w:val="1"/>
      <w:numFmt w:val="upperLetter"/>
      <w:pStyle w:val="Heading2"/>
      <w:lvlText w:val="%1."/>
      <w:lvlJc w:val="left"/>
      <w:pPr>
        <w:ind w:left="360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E10427"/>
    <w:multiLevelType w:val="hybridMultilevel"/>
    <w:tmpl w:val="BC56E8BC"/>
    <w:lvl w:ilvl="0" w:tplc="710E90EE">
      <w:start w:val="1"/>
      <w:numFmt w:val="upperRoman"/>
      <w:pStyle w:val="CTWOutline1"/>
      <w:lvlText w:val="%1."/>
      <w:lvlJc w:val="left"/>
      <w:pPr>
        <w:tabs>
          <w:tab w:val="num" w:pos="720"/>
        </w:tabs>
        <w:ind w:left="720" w:hanging="720"/>
      </w:pPr>
      <w:rPr>
        <w:rFonts w:hint="default"/>
        <w:b/>
      </w:rPr>
    </w:lvl>
    <w:lvl w:ilvl="1" w:tplc="917850E2">
      <w:start w:val="1"/>
      <w:numFmt w:val="upperLetter"/>
      <w:pStyle w:val="CTWOutline2"/>
      <w:lvlText w:val="%2."/>
      <w:lvlJc w:val="left"/>
      <w:pPr>
        <w:tabs>
          <w:tab w:val="num" w:pos="720"/>
        </w:tabs>
        <w:ind w:left="1440" w:hanging="720"/>
      </w:pPr>
      <w:rPr>
        <w:rFonts w:hint="default"/>
      </w:rPr>
    </w:lvl>
    <w:lvl w:ilvl="2" w:tplc="57D89392">
      <w:start w:val="1"/>
      <w:numFmt w:val="decimal"/>
      <w:pStyle w:val="CTWOutline3"/>
      <w:lvlText w:val="%3."/>
      <w:lvlJc w:val="left"/>
      <w:pPr>
        <w:tabs>
          <w:tab w:val="num" w:pos="720"/>
        </w:tabs>
        <w:ind w:left="2160" w:hanging="720"/>
      </w:pPr>
      <w:rPr>
        <w:rFonts w:hint="default"/>
      </w:rPr>
    </w:lvl>
    <w:lvl w:ilvl="3" w:tplc="D7103360">
      <w:start w:val="1"/>
      <w:numFmt w:val="lowerLetter"/>
      <w:pStyle w:val="CTWOutline4"/>
      <w:lvlText w:val="%4."/>
      <w:lvlJc w:val="left"/>
      <w:pPr>
        <w:tabs>
          <w:tab w:val="num" w:pos="720"/>
        </w:tabs>
        <w:ind w:left="2880" w:hanging="720"/>
      </w:pPr>
      <w:rPr>
        <w:rFonts w:hint="default"/>
      </w:rPr>
    </w:lvl>
    <w:lvl w:ilvl="4" w:tplc="65BC4A0E">
      <w:start w:val="1"/>
      <w:numFmt w:val="decimal"/>
      <w:pStyle w:val="CTWOutline5"/>
      <w:lvlText w:val="(%5)"/>
      <w:lvlJc w:val="left"/>
      <w:pPr>
        <w:tabs>
          <w:tab w:val="num" w:pos="720"/>
        </w:tabs>
        <w:ind w:left="3600" w:hanging="720"/>
      </w:pPr>
      <w:rPr>
        <w:rFonts w:hint="default"/>
      </w:rPr>
    </w:lvl>
    <w:lvl w:ilvl="5" w:tplc="7BB06B4A">
      <w:start w:val="1"/>
      <w:numFmt w:val="lowerLetter"/>
      <w:pStyle w:val="CTWOutline6"/>
      <w:lvlText w:val="(%6)"/>
      <w:lvlJc w:val="left"/>
      <w:pPr>
        <w:tabs>
          <w:tab w:val="num" w:pos="720"/>
        </w:tabs>
        <w:ind w:left="4320" w:hanging="720"/>
      </w:pPr>
      <w:rPr>
        <w:rFonts w:hint="default"/>
      </w:rPr>
    </w:lvl>
    <w:lvl w:ilvl="6" w:tplc="983A7202">
      <w:start w:val="1"/>
      <w:numFmt w:val="lowerRoman"/>
      <w:pStyle w:val="CTWOutline7"/>
      <w:lvlText w:val="%7)"/>
      <w:lvlJc w:val="left"/>
      <w:pPr>
        <w:tabs>
          <w:tab w:val="num" w:pos="720"/>
        </w:tabs>
        <w:ind w:left="5040" w:hanging="720"/>
      </w:pPr>
      <w:rPr>
        <w:rFonts w:hint="default"/>
      </w:rPr>
    </w:lvl>
    <w:lvl w:ilvl="7" w:tplc="19A67836">
      <w:start w:val="1"/>
      <w:numFmt w:val="lowerLetter"/>
      <w:pStyle w:val="CTWOutline8"/>
      <w:lvlText w:val="%8)"/>
      <w:lvlJc w:val="left"/>
      <w:pPr>
        <w:tabs>
          <w:tab w:val="num" w:pos="720"/>
        </w:tabs>
        <w:ind w:left="5760" w:hanging="720"/>
      </w:pPr>
      <w:rPr>
        <w:rFonts w:hint="default"/>
      </w:rPr>
    </w:lvl>
    <w:lvl w:ilvl="8" w:tplc="3A1A46D6">
      <w:start w:val="1"/>
      <w:numFmt w:val="decimal"/>
      <w:pStyle w:val="CTWOutline9"/>
      <w:lvlText w:val="%9)"/>
      <w:lvlJc w:val="left"/>
      <w:pPr>
        <w:tabs>
          <w:tab w:val="num" w:pos="720"/>
        </w:tabs>
        <w:ind w:left="6480" w:hanging="720"/>
      </w:pPr>
      <w:rPr>
        <w:rFonts w:hint="default"/>
      </w:rPr>
    </w:lvl>
  </w:abstractNum>
  <w:abstractNum w:abstractNumId="15" w15:restartNumberingAfterBreak="0">
    <w:nsid w:val="591720D4"/>
    <w:multiLevelType w:val="hybridMultilevel"/>
    <w:tmpl w:val="4CC0ECE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68944999"/>
    <w:multiLevelType w:val="hybridMultilevel"/>
    <w:tmpl w:val="5BD6BE9E"/>
    <w:lvl w:ilvl="0" w:tplc="DBEC9A56">
      <w:start w:val="1"/>
      <w:numFmt w:val="upperLetter"/>
      <w:pStyle w:val="LPSCHeading2"/>
      <w:lvlText w:val="%1."/>
      <w:lvlJc w:val="left"/>
      <w:pPr>
        <w:ind w:left="36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5FE58F7"/>
    <w:multiLevelType w:val="hybridMultilevel"/>
    <w:tmpl w:val="A89E321C"/>
    <w:lvl w:ilvl="0" w:tplc="8D00D9D2">
      <w:start w:val="1"/>
      <w:numFmt w:val="upperLetter"/>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3"/>
  </w:num>
  <w:num w:numId="3">
    <w:abstractNumId w:val="16"/>
  </w:num>
  <w:num w:numId="4">
    <w:abstractNumId w:val="17"/>
  </w:num>
  <w:num w:numId="5">
    <w:abstractNumId w:val="14"/>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1"/>
  </w:num>
  <w:num w:numId="17">
    <w:abstractNumId w:val="10"/>
  </w:num>
  <w:num w:numId="18">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trackedChanges" w:enforcement="0"/>
  <w:defaultTabStop w:val="720"/>
  <w:drawingGridHorizontalSpacing w:val="120"/>
  <w:displayHorizontalDrawingGridEvery w:val="2"/>
  <w:displayVerticalDrawingGridEvery w:val="2"/>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0F55"/>
    <w:rsid w:val="0000525D"/>
    <w:rsid w:val="000459AA"/>
    <w:rsid w:val="00052706"/>
    <w:rsid w:val="00071318"/>
    <w:rsid w:val="000B6525"/>
    <w:rsid w:val="000F70F0"/>
    <w:rsid w:val="0010398D"/>
    <w:rsid w:val="001504AB"/>
    <w:rsid w:val="001604B0"/>
    <w:rsid w:val="00175005"/>
    <w:rsid w:val="001B6A06"/>
    <w:rsid w:val="002202B6"/>
    <w:rsid w:val="002749FF"/>
    <w:rsid w:val="00274CDE"/>
    <w:rsid w:val="002C635B"/>
    <w:rsid w:val="00316E8F"/>
    <w:rsid w:val="00324220"/>
    <w:rsid w:val="00326352"/>
    <w:rsid w:val="003327E1"/>
    <w:rsid w:val="0033486F"/>
    <w:rsid w:val="003352DE"/>
    <w:rsid w:val="003400DF"/>
    <w:rsid w:val="003471C7"/>
    <w:rsid w:val="00354614"/>
    <w:rsid w:val="00362AEB"/>
    <w:rsid w:val="003B1EE6"/>
    <w:rsid w:val="003F322B"/>
    <w:rsid w:val="00404C97"/>
    <w:rsid w:val="004129BD"/>
    <w:rsid w:val="00415F66"/>
    <w:rsid w:val="00423C1F"/>
    <w:rsid w:val="00464A01"/>
    <w:rsid w:val="00481EBF"/>
    <w:rsid w:val="004A7ABE"/>
    <w:rsid w:val="004E2195"/>
    <w:rsid w:val="005021F4"/>
    <w:rsid w:val="00505C0E"/>
    <w:rsid w:val="005150C7"/>
    <w:rsid w:val="005370D7"/>
    <w:rsid w:val="005A6A73"/>
    <w:rsid w:val="005B2C93"/>
    <w:rsid w:val="0061300D"/>
    <w:rsid w:val="00630D18"/>
    <w:rsid w:val="006610CA"/>
    <w:rsid w:val="00670C1B"/>
    <w:rsid w:val="00671D96"/>
    <w:rsid w:val="006B0272"/>
    <w:rsid w:val="006E08BF"/>
    <w:rsid w:val="007010EB"/>
    <w:rsid w:val="0072692C"/>
    <w:rsid w:val="00736126"/>
    <w:rsid w:val="0074757E"/>
    <w:rsid w:val="00751EF5"/>
    <w:rsid w:val="0076029F"/>
    <w:rsid w:val="00772B4E"/>
    <w:rsid w:val="007833A5"/>
    <w:rsid w:val="00813E33"/>
    <w:rsid w:val="00853381"/>
    <w:rsid w:val="008A3ADD"/>
    <w:rsid w:val="008B085C"/>
    <w:rsid w:val="008B3061"/>
    <w:rsid w:val="008E1CCC"/>
    <w:rsid w:val="00912A69"/>
    <w:rsid w:val="00962B30"/>
    <w:rsid w:val="009A0F55"/>
    <w:rsid w:val="009B5FCB"/>
    <w:rsid w:val="009B7EA9"/>
    <w:rsid w:val="009E30BE"/>
    <w:rsid w:val="009E37D4"/>
    <w:rsid w:val="009E7BC8"/>
    <w:rsid w:val="009F3AD8"/>
    <w:rsid w:val="009F3E5E"/>
    <w:rsid w:val="009F70B5"/>
    <w:rsid w:val="009F7119"/>
    <w:rsid w:val="00A2778A"/>
    <w:rsid w:val="00A30B4B"/>
    <w:rsid w:val="00A33439"/>
    <w:rsid w:val="00A63020"/>
    <w:rsid w:val="00AB07E4"/>
    <w:rsid w:val="00AB3C9D"/>
    <w:rsid w:val="00AC45B6"/>
    <w:rsid w:val="00AE4237"/>
    <w:rsid w:val="00B07F15"/>
    <w:rsid w:val="00B81C8A"/>
    <w:rsid w:val="00B82470"/>
    <w:rsid w:val="00BA46F9"/>
    <w:rsid w:val="00BA69C0"/>
    <w:rsid w:val="00C62E28"/>
    <w:rsid w:val="00C71543"/>
    <w:rsid w:val="00CA100F"/>
    <w:rsid w:val="00CB6F68"/>
    <w:rsid w:val="00CC6990"/>
    <w:rsid w:val="00CD584A"/>
    <w:rsid w:val="00CE06CE"/>
    <w:rsid w:val="00CF33FB"/>
    <w:rsid w:val="00DA0F8F"/>
    <w:rsid w:val="00DE1AE0"/>
    <w:rsid w:val="00E045E6"/>
    <w:rsid w:val="00E36851"/>
    <w:rsid w:val="00E64239"/>
    <w:rsid w:val="00E86382"/>
    <w:rsid w:val="00E86CB9"/>
    <w:rsid w:val="00E9521F"/>
    <w:rsid w:val="00E96BF3"/>
    <w:rsid w:val="00ED6AED"/>
    <w:rsid w:val="00ED7025"/>
    <w:rsid w:val="00F00179"/>
    <w:rsid w:val="00F250D7"/>
    <w:rsid w:val="00F27EDB"/>
    <w:rsid w:val="00F37913"/>
    <w:rsid w:val="00F86EAD"/>
    <w:rsid w:val="00FB4391"/>
    <w:rsid w:val="00FF081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18D60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lsdException w:name="heading 5" w:semiHidden="1" w:unhideWhenUsed="1"/>
    <w:lsdException w:name="heading 6" w:semiHidden="1" w:unhideWhenUsed="1" w:qFormat="1"/>
    <w:lsdException w:name="heading 7" w:semiHidden="1"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link w:val="Heading1Char"/>
    <w:qFormat/>
    <w:pPr>
      <w:keepNext/>
      <w:numPr>
        <w:numId w:val="1"/>
      </w:numPr>
      <w:tabs>
        <w:tab w:val="left" w:pos="720"/>
      </w:tabs>
      <w:spacing w:after="240"/>
      <w:ind w:left="720" w:hanging="720"/>
      <w:jc w:val="center"/>
      <w:outlineLvl w:val="0"/>
    </w:pPr>
    <w:rPr>
      <w:b/>
      <w:bCs/>
      <w:caps/>
      <w:kern w:val="32"/>
      <w:szCs w:val="32"/>
      <w:u w:val="single"/>
    </w:rPr>
  </w:style>
  <w:style w:type="paragraph" w:styleId="Heading2">
    <w:name w:val="heading 2"/>
    <w:basedOn w:val="Normal"/>
    <w:next w:val="Normal"/>
    <w:link w:val="Heading2Char"/>
    <w:qFormat/>
    <w:pPr>
      <w:keepNext/>
      <w:numPr>
        <w:numId w:val="2"/>
      </w:numPr>
      <w:spacing w:after="240"/>
      <w:ind w:left="720" w:hanging="720"/>
      <w:jc w:val="center"/>
      <w:outlineLvl w:val="1"/>
    </w:pPr>
    <w:rPr>
      <w:b/>
      <w:bCs/>
      <w:iCs/>
      <w:szCs w:val="28"/>
    </w:rPr>
  </w:style>
  <w:style w:type="paragraph" w:styleId="Heading3">
    <w:name w:val="heading 3"/>
    <w:basedOn w:val="Normal"/>
    <w:next w:val="Normal"/>
    <w:link w:val="Heading3Char"/>
    <w:unhideWhenUsed/>
    <w:pPr>
      <w:keepNext/>
      <w:keepLines/>
      <w:numPr>
        <w:numId w:val="4"/>
      </w:numPr>
      <w:spacing w:line="480" w:lineRule="auto"/>
      <w:jc w:val="center"/>
      <w:outlineLvl w:val="2"/>
    </w:pPr>
    <w:rPr>
      <w:rFonts w:eastAsiaTheme="majorEastAsia" w:cstheme="majorBidi"/>
      <w:b/>
      <w:bCs/>
    </w:rPr>
  </w:style>
  <w:style w:type="paragraph" w:styleId="Heading4">
    <w:name w:val="heading 4"/>
    <w:basedOn w:val="Normal"/>
    <w:next w:val="Normal"/>
    <w:pPr>
      <w:keepNext/>
      <w:spacing w:before="240" w:after="60"/>
      <w:outlineLvl w:val="3"/>
    </w:pPr>
    <w:rPr>
      <w:b/>
      <w:bCs/>
      <w:sz w:val="28"/>
      <w:szCs w:val="28"/>
    </w:rPr>
  </w:style>
  <w:style w:type="paragraph" w:styleId="Heading5">
    <w:name w:val="heading 5"/>
    <w:basedOn w:val="Normal"/>
    <w:next w:val="Normal"/>
    <w:link w:val="Heading5Char"/>
    <w:semiHidden/>
    <w:unhideWhenUsed/>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semiHidden/>
    <w:unhideWhenUsed/>
    <w:qFormat/>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semiHidden/>
    <w:unhideWhenUsed/>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semiHidden/>
    <w:unhideWhenUse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rPr>
      <w:sz w:val="20"/>
      <w:szCs w:val="20"/>
    </w:rPr>
  </w:style>
  <w:style w:type="character" w:styleId="LineNumber">
    <w:name w:val="line number"/>
    <w:basedOn w:val="DefaultParagraphFont"/>
    <w:rPr>
      <w:rFonts w:ascii="Times New Roman" w:hAnsi="Times New Roman"/>
      <w:sz w:val="24"/>
    </w:rPr>
  </w:style>
  <w:style w:type="paragraph" w:customStyle="1" w:styleId="QUESTION">
    <w:name w:val="QUESTION"/>
    <w:basedOn w:val="Normal"/>
    <w:next w:val="Answer"/>
    <w:qFormat/>
    <w:pPr>
      <w:keepNext/>
      <w:numPr>
        <w:numId w:val="17"/>
      </w:numPr>
      <w:spacing w:line="480" w:lineRule="auto"/>
      <w:ind w:hanging="720"/>
      <w:jc w:val="both"/>
    </w:pPr>
    <w:rPr>
      <w:caps/>
    </w:rPr>
  </w:style>
  <w:style w:type="paragraph" w:customStyle="1" w:styleId="Answer">
    <w:name w:val="Answer"/>
    <w:basedOn w:val="Normal"/>
    <w:link w:val="AnswerChar"/>
    <w:qFormat/>
    <w:pPr>
      <w:spacing w:line="480" w:lineRule="auto"/>
      <w:ind w:left="720" w:hanging="720"/>
      <w:jc w:val="both"/>
    </w:pPr>
  </w:style>
  <w:style w:type="character" w:customStyle="1" w:styleId="AnswerChar">
    <w:name w:val="Answer Char"/>
    <w:link w:val="Answer"/>
    <w:rPr>
      <w:sz w:val="24"/>
      <w:szCs w:val="24"/>
    </w:rPr>
  </w:style>
  <w:style w:type="paragraph" w:styleId="FootnoteText">
    <w:name w:val="footnote text"/>
    <w:basedOn w:val="Normal"/>
    <w:link w:val="FootnoteTextChar"/>
    <w:uiPriority w:val="99"/>
    <w:pPr>
      <w:spacing w:after="120"/>
      <w:ind w:left="360" w:hanging="360"/>
      <w:jc w:val="both"/>
    </w:pPr>
    <w:rPr>
      <w:sz w:val="20"/>
      <w:szCs w:val="20"/>
    </w:rPr>
  </w:style>
  <w:style w:type="character" w:styleId="FootnoteReference">
    <w:name w:val="footnote reference"/>
    <w:aliases w:val="fr,o"/>
    <w:uiPriority w:val="99"/>
    <w:rPr>
      <w:vertAlign w:val="superscript"/>
    </w:rPr>
  </w:style>
  <w:style w:type="paragraph" w:styleId="Footer">
    <w:name w:val="footer"/>
    <w:basedOn w:val="Normal"/>
    <w:link w:val="FooterChar"/>
    <w:uiPriority w:val="99"/>
    <w:pPr>
      <w:tabs>
        <w:tab w:val="center" w:pos="4320"/>
        <w:tab w:val="right" w:pos="8640"/>
      </w:tabs>
    </w:pPr>
    <w:rPr>
      <w:sz w:val="20"/>
      <w:szCs w:val="20"/>
    </w:rPr>
  </w:style>
  <w:style w:type="character" w:styleId="PageNumber">
    <w:name w:val="page number"/>
    <w:basedOn w:val="DefaultParagraphFont"/>
  </w:style>
  <w:style w:type="paragraph" w:styleId="Title">
    <w:name w:val="Title"/>
    <w:basedOn w:val="Normal"/>
    <w:qFormat/>
    <w:pPr>
      <w:keepNext/>
      <w:spacing w:line="480" w:lineRule="auto"/>
      <w:jc w:val="center"/>
      <w:outlineLvl w:val="1"/>
    </w:pPr>
    <w:rPr>
      <w:b/>
    </w:rPr>
  </w:style>
  <w:style w:type="paragraph" w:styleId="BodyText">
    <w:name w:val="Body Text"/>
    <w:basedOn w:val="Normal"/>
    <w:link w:val="BodyTextChar"/>
    <w:pPr>
      <w:spacing w:line="480" w:lineRule="auto"/>
    </w:pPr>
    <w:rPr>
      <w:szCs w:val="20"/>
    </w:rPr>
  </w:style>
  <w:style w:type="character" w:styleId="CommentReference">
    <w:name w:val="annotation reference"/>
    <w:rPr>
      <w:sz w:val="16"/>
      <w:szCs w:val="16"/>
    </w:rPr>
  </w:style>
  <w:style w:type="paragraph" w:styleId="CommentText">
    <w:name w:val="annotation text"/>
    <w:basedOn w:val="Normal"/>
    <w:link w:val="CommentTextChar"/>
    <w:rPr>
      <w:sz w:val="22"/>
      <w:szCs w:val="20"/>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1Figure">
    <w:name w:val="1Figure"/>
    <w:basedOn w:val="Caption"/>
    <w:pPr>
      <w:keepNext/>
      <w:widowControl w:val="0"/>
      <w:adjustRightInd w:val="0"/>
      <w:spacing w:line="360" w:lineRule="atLeast"/>
      <w:jc w:val="both"/>
      <w:textAlignment w:val="baseline"/>
    </w:pPr>
    <w:rPr>
      <w:rFonts w:ascii="Arial" w:hAnsi="Arial"/>
      <w:bCs w:val="0"/>
    </w:rPr>
  </w:style>
  <w:style w:type="paragraph" w:styleId="Caption">
    <w:name w:val="caption"/>
    <w:basedOn w:val="Normal"/>
    <w:next w:val="Normal"/>
    <w:rPr>
      <w:b/>
      <w:bCs/>
      <w:sz w:val="20"/>
      <w:szCs w:val="20"/>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uiPriority w:val="99"/>
  </w:style>
  <w:style w:type="paragraph" w:styleId="TOC1">
    <w:name w:val="toc 1"/>
    <w:basedOn w:val="Normal"/>
    <w:next w:val="Normal"/>
    <w:uiPriority w:val="39"/>
    <w:pPr>
      <w:tabs>
        <w:tab w:val="left" w:pos="720"/>
        <w:tab w:val="right" w:pos="9360"/>
      </w:tabs>
      <w:spacing w:after="240"/>
      <w:ind w:left="720" w:hanging="720"/>
    </w:pPr>
  </w:style>
  <w:style w:type="paragraph" w:styleId="TOCHeading">
    <w:name w:val="TOC Heading"/>
    <w:basedOn w:val="Heading1"/>
    <w:next w:val="Normal"/>
    <w:uiPriority w:val="39"/>
    <w:pPr>
      <w:keepLines/>
      <w:numPr>
        <w:numId w:val="0"/>
      </w:numPr>
      <w:spacing w:before="480" w:after="0" w:line="276" w:lineRule="auto"/>
      <w:outlineLvl w:val="9"/>
    </w:pPr>
    <w:rPr>
      <w:rFonts w:ascii="Cambria" w:hAnsi="Cambria"/>
      <w:color w:val="365F91"/>
      <w:kern w:val="0"/>
      <w:sz w:val="28"/>
      <w:szCs w:val="28"/>
    </w:rPr>
  </w:style>
  <w:style w:type="paragraph" w:styleId="TOC2">
    <w:name w:val="toc 2"/>
    <w:basedOn w:val="Normal"/>
    <w:next w:val="Normal"/>
    <w:autoRedefine/>
    <w:uiPriority w:val="39"/>
    <w:pPr>
      <w:ind w:left="240"/>
    </w:pPr>
    <w:rPr>
      <w:b/>
    </w:rPr>
  </w:style>
  <w:style w:type="character" w:styleId="Hyperlink">
    <w:name w:val="Hyperlink"/>
    <w:uiPriority w:val="99"/>
    <w:unhideWhenUsed/>
    <w:rPr>
      <w:color w:val="0000FF"/>
      <w:u w:val="single"/>
    </w:rPr>
  </w:style>
  <w:style w:type="paragraph" w:styleId="ListParagraph">
    <w:name w:val="List Paragraph"/>
    <w:basedOn w:val="Normal"/>
    <w:link w:val="ListParagraphChar"/>
    <w:uiPriority w:val="34"/>
    <w:qFormat/>
    <w:pPr>
      <w:ind w:left="720"/>
      <w:contextualSpacing/>
    </w:pPr>
  </w:style>
  <w:style w:type="character" w:customStyle="1" w:styleId="CommentTextChar">
    <w:name w:val="Comment Text Char"/>
    <w:link w:val="CommentText"/>
    <w:rPr>
      <w:sz w:val="22"/>
    </w:rPr>
  </w:style>
  <w:style w:type="paragraph" w:styleId="Revision">
    <w:name w:val="Revision"/>
    <w:hidden/>
    <w:uiPriority w:val="99"/>
    <w:semiHidden/>
    <w:rPr>
      <w:sz w:val="24"/>
      <w:szCs w:val="24"/>
    </w:rPr>
  </w:style>
  <w:style w:type="table" w:customStyle="1" w:styleId="TableGrid1">
    <w:name w:val="Table Grid1"/>
    <w:basedOn w:val="TableNormal"/>
    <w:next w:val="TableGrid"/>
    <w:uiPriority w:val="59"/>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Pr>
      <w:b/>
      <w:bCs/>
      <w:caps/>
      <w:kern w:val="32"/>
      <w:sz w:val="24"/>
      <w:szCs w:val="32"/>
      <w:u w:val="single"/>
    </w:rPr>
  </w:style>
  <w:style w:type="paragraph" w:styleId="BodyTextIndent3">
    <w:name w:val="Body Text Indent 3"/>
    <w:basedOn w:val="Normal"/>
    <w:link w:val="BodyTextIndent3Char"/>
    <w:pPr>
      <w:spacing w:after="120"/>
      <w:ind w:left="360"/>
    </w:pPr>
    <w:rPr>
      <w:sz w:val="16"/>
      <w:szCs w:val="16"/>
    </w:rPr>
  </w:style>
  <w:style w:type="character" w:customStyle="1" w:styleId="BodyTextIndent3Char">
    <w:name w:val="Body Text Indent 3 Char"/>
    <w:link w:val="BodyTextIndent3"/>
    <w:rPr>
      <w:sz w:val="16"/>
      <w:szCs w:val="16"/>
    </w:rPr>
  </w:style>
  <w:style w:type="paragraph" w:customStyle="1" w:styleId="LPSCHeading1">
    <w:name w:val="LPSC Heading 1"/>
    <w:basedOn w:val="Heading1"/>
    <w:next w:val="LPSCHeading2"/>
    <w:link w:val="LPSCHeading1Char"/>
    <w:pPr>
      <w:ind w:left="1080"/>
    </w:pPr>
    <w:rPr>
      <w:caps w:val="0"/>
    </w:rPr>
  </w:style>
  <w:style w:type="paragraph" w:customStyle="1" w:styleId="LPSCHeading2">
    <w:name w:val="LPSC Heading 2"/>
    <w:basedOn w:val="Heading2"/>
    <w:link w:val="LPSCHeading2Char"/>
    <w:pPr>
      <w:numPr>
        <w:numId w:val="3"/>
      </w:numPr>
      <w:ind w:left="1440" w:hanging="720"/>
    </w:pPr>
    <w:rPr>
      <w:szCs w:val="24"/>
    </w:rPr>
  </w:style>
  <w:style w:type="character" w:customStyle="1" w:styleId="LPSCHeading1Char">
    <w:name w:val="LPSC Heading 1 Char"/>
    <w:basedOn w:val="Heading1Char"/>
    <w:link w:val="LPSCHeading1"/>
    <w:rPr>
      <w:b/>
      <w:bCs/>
      <w:caps w:val="0"/>
      <w:kern w:val="32"/>
      <w:sz w:val="24"/>
      <w:szCs w:val="32"/>
      <w:u w:val="single"/>
    </w:rPr>
  </w:style>
  <w:style w:type="character" w:customStyle="1" w:styleId="FooterChar">
    <w:name w:val="Footer Char"/>
    <w:link w:val="Footer"/>
    <w:uiPriority w:val="99"/>
  </w:style>
  <w:style w:type="character" w:customStyle="1" w:styleId="Heading2Char">
    <w:name w:val="Heading 2 Char"/>
    <w:link w:val="Heading2"/>
    <w:rPr>
      <w:b/>
      <w:bCs/>
      <w:iCs/>
      <w:sz w:val="24"/>
      <w:szCs w:val="28"/>
    </w:rPr>
  </w:style>
  <w:style w:type="character" w:customStyle="1" w:styleId="LPSCHeading2Char">
    <w:name w:val="LPSC Heading 2 Char"/>
    <w:link w:val="LPSCHeading2"/>
    <w:rPr>
      <w:b/>
      <w:bCs/>
      <w:iCs/>
      <w:sz w:val="24"/>
      <w:szCs w:val="24"/>
    </w:rPr>
  </w:style>
  <w:style w:type="table" w:customStyle="1" w:styleId="TableGrid2">
    <w:name w:val="Table Grid2"/>
    <w:basedOn w:val="TableNormal"/>
    <w:next w:val="TableGrid"/>
    <w:uiPriority w:val="59"/>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Pr>
      <w:rFonts w:eastAsiaTheme="majorEastAsia" w:cstheme="majorBidi"/>
      <w:b/>
      <w:bCs/>
      <w:sz w:val="24"/>
      <w:szCs w:val="24"/>
    </w:rPr>
  </w:style>
  <w:style w:type="paragraph" w:customStyle="1" w:styleId="CTWOutline1">
    <w:name w:val="CTW Outline1"/>
    <w:pPr>
      <w:keepNext/>
      <w:numPr>
        <w:numId w:val="5"/>
      </w:numPr>
      <w:spacing w:after="240"/>
      <w:jc w:val="center"/>
      <w:outlineLvl w:val="0"/>
    </w:pPr>
    <w:rPr>
      <w:rFonts w:ascii="Times New Roman Bold" w:hAnsi="Times New Roman Bold"/>
      <w:b/>
      <w:caps/>
      <w:sz w:val="24"/>
      <w:szCs w:val="24"/>
    </w:rPr>
  </w:style>
  <w:style w:type="paragraph" w:customStyle="1" w:styleId="CTWOutline2">
    <w:name w:val="CTW Outline2"/>
    <w:pPr>
      <w:numPr>
        <w:ilvl w:val="1"/>
        <w:numId w:val="5"/>
      </w:numPr>
      <w:spacing w:after="240"/>
      <w:jc w:val="center"/>
      <w:outlineLvl w:val="1"/>
    </w:pPr>
    <w:rPr>
      <w:rFonts w:ascii="Times New Roman Bold" w:hAnsi="Times New Roman Bold"/>
      <w:b/>
      <w:sz w:val="24"/>
      <w:szCs w:val="24"/>
    </w:rPr>
  </w:style>
  <w:style w:type="paragraph" w:customStyle="1" w:styleId="CTWOutline3">
    <w:name w:val="CTW Outline3"/>
    <w:pPr>
      <w:numPr>
        <w:ilvl w:val="2"/>
        <w:numId w:val="5"/>
      </w:numPr>
      <w:spacing w:after="240"/>
      <w:jc w:val="both"/>
      <w:outlineLvl w:val="2"/>
    </w:pPr>
    <w:rPr>
      <w:sz w:val="24"/>
      <w:szCs w:val="24"/>
    </w:rPr>
  </w:style>
  <w:style w:type="paragraph" w:customStyle="1" w:styleId="CTWOutline4">
    <w:name w:val="CTW Outline4"/>
    <w:pPr>
      <w:numPr>
        <w:ilvl w:val="3"/>
        <w:numId w:val="5"/>
      </w:numPr>
      <w:spacing w:after="240"/>
      <w:jc w:val="both"/>
      <w:outlineLvl w:val="3"/>
    </w:pPr>
    <w:rPr>
      <w:sz w:val="24"/>
      <w:szCs w:val="24"/>
    </w:rPr>
  </w:style>
  <w:style w:type="paragraph" w:customStyle="1" w:styleId="CTWOutline5">
    <w:name w:val="CTW Outline5"/>
    <w:pPr>
      <w:numPr>
        <w:ilvl w:val="4"/>
        <w:numId w:val="5"/>
      </w:numPr>
      <w:spacing w:after="240"/>
      <w:jc w:val="both"/>
      <w:outlineLvl w:val="4"/>
    </w:pPr>
    <w:rPr>
      <w:sz w:val="24"/>
      <w:szCs w:val="24"/>
    </w:rPr>
  </w:style>
  <w:style w:type="paragraph" w:customStyle="1" w:styleId="CTWOutline6">
    <w:name w:val="CTW Outline6"/>
    <w:pPr>
      <w:numPr>
        <w:ilvl w:val="5"/>
        <w:numId w:val="5"/>
      </w:numPr>
      <w:spacing w:after="240"/>
      <w:jc w:val="both"/>
      <w:outlineLvl w:val="5"/>
    </w:pPr>
    <w:rPr>
      <w:sz w:val="24"/>
      <w:szCs w:val="24"/>
    </w:rPr>
  </w:style>
  <w:style w:type="paragraph" w:customStyle="1" w:styleId="CTWOutline7">
    <w:name w:val="CTW Outline7"/>
    <w:pPr>
      <w:numPr>
        <w:ilvl w:val="6"/>
        <w:numId w:val="5"/>
      </w:numPr>
      <w:spacing w:after="240"/>
      <w:jc w:val="both"/>
      <w:outlineLvl w:val="6"/>
    </w:pPr>
    <w:rPr>
      <w:sz w:val="24"/>
      <w:szCs w:val="24"/>
    </w:rPr>
  </w:style>
  <w:style w:type="paragraph" w:customStyle="1" w:styleId="CTWOutline8">
    <w:name w:val="CTW Outline8"/>
    <w:pPr>
      <w:numPr>
        <w:ilvl w:val="7"/>
        <w:numId w:val="5"/>
      </w:numPr>
      <w:spacing w:after="240"/>
      <w:jc w:val="both"/>
      <w:outlineLvl w:val="7"/>
    </w:pPr>
    <w:rPr>
      <w:sz w:val="24"/>
      <w:szCs w:val="24"/>
    </w:rPr>
  </w:style>
  <w:style w:type="paragraph" w:customStyle="1" w:styleId="CTWOutline9">
    <w:name w:val="CTW Outline9"/>
    <w:pPr>
      <w:numPr>
        <w:ilvl w:val="8"/>
        <w:numId w:val="5"/>
      </w:numPr>
      <w:spacing w:after="240"/>
      <w:jc w:val="both"/>
      <w:outlineLvl w:val="8"/>
    </w:pPr>
    <w:rPr>
      <w:sz w:val="24"/>
      <w:szCs w:val="24"/>
    </w:rPr>
  </w:style>
  <w:style w:type="character" w:customStyle="1" w:styleId="HeaderChar">
    <w:name w:val="Header Char"/>
    <w:basedOn w:val="DefaultParagraphFont"/>
    <w:link w:val="Header"/>
    <w:uiPriority w:val="99"/>
  </w:style>
  <w:style w:type="paragraph" w:styleId="Bibliography">
    <w:name w:val="Bibliography"/>
    <w:basedOn w:val="Normal"/>
    <w:next w:val="Normal"/>
    <w:uiPriority w:val="37"/>
    <w:semiHidden/>
    <w:unhideWhenUsed/>
  </w:style>
  <w:style w:type="paragraph" w:styleId="BlockText">
    <w:name w:val="Block Text"/>
    <w:basedOn w:val="Normal"/>
    <w:semiHidden/>
    <w:unhideWhenUse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pPr>
      <w:spacing w:after="120" w:line="480" w:lineRule="auto"/>
    </w:pPr>
  </w:style>
  <w:style w:type="character" w:customStyle="1" w:styleId="BodyText2Char">
    <w:name w:val="Body Text 2 Char"/>
    <w:basedOn w:val="DefaultParagraphFont"/>
    <w:link w:val="BodyText2"/>
    <w:semiHidden/>
    <w:rPr>
      <w:sz w:val="24"/>
      <w:szCs w:val="24"/>
    </w:rPr>
  </w:style>
  <w:style w:type="paragraph" w:styleId="BodyText3">
    <w:name w:val="Body Text 3"/>
    <w:basedOn w:val="Normal"/>
    <w:link w:val="BodyText3Char"/>
    <w:semiHidden/>
    <w:unhideWhenUsed/>
    <w:pPr>
      <w:spacing w:after="120"/>
    </w:pPr>
    <w:rPr>
      <w:sz w:val="16"/>
      <w:szCs w:val="16"/>
    </w:rPr>
  </w:style>
  <w:style w:type="character" w:customStyle="1" w:styleId="BodyText3Char">
    <w:name w:val="Body Text 3 Char"/>
    <w:basedOn w:val="DefaultParagraphFont"/>
    <w:link w:val="BodyText3"/>
    <w:semiHidden/>
    <w:rPr>
      <w:sz w:val="16"/>
      <w:szCs w:val="16"/>
    </w:rPr>
  </w:style>
  <w:style w:type="paragraph" w:styleId="BodyTextFirstIndent">
    <w:name w:val="Body Text First Indent"/>
    <w:basedOn w:val="BodyText"/>
    <w:link w:val="BodyTextFirstIndentChar"/>
    <w:pPr>
      <w:ind w:firstLine="360"/>
    </w:pPr>
    <w:rPr>
      <w:szCs w:val="24"/>
    </w:rPr>
  </w:style>
  <w:style w:type="character" w:customStyle="1" w:styleId="BodyTextChar">
    <w:name w:val="Body Text Char"/>
    <w:basedOn w:val="DefaultParagraphFont"/>
    <w:link w:val="BodyText"/>
    <w:rPr>
      <w:sz w:val="24"/>
    </w:rPr>
  </w:style>
  <w:style w:type="character" w:customStyle="1" w:styleId="BodyTextFirstIndentChar">
    <w:name w:val="Body Text First Indent Char"/>
    <w:basedOn w:val="BodyTextChar"/>
    <w:link w:val="BodyTextFirstIndent"/>
    <w:rPr>
      <w:sz w:val="24"/>
      <w:szCs w:val="24"/>
    </w:rPr>
  </w:style>
  <w:style w:type="paragraph" w:styleId="BodyTextIndent">
    <w:name w:val="Body Text Indent"/>
    <w:basedOn w:val="Normal"/>
    <w:link w:val="BodyTextIndentChar"/>
    <w:semiHidden/>
    <w:unhideWhenUsed/>
    <w:pPr>
      <w:spacing w:after="120"/>
      <w:ind w:left="360"/>
    </w:pPr>
  </w:style>
  <w:style w:type="character" w:customStyle="1" w:styleId="BodyTextIndentChar">
    <w:name w:val="Body Text Indent Char"/>
    <w:basedOn w:val="DefaultParagraphFont"/>
    <w:link w:val="BodyTextIndent"/>
    <w:semiHidden/>
    <w:rPr>
      <w:sz w:val="24"/>
      <w:szCs w:val="24"/>
    </w:rPr>
  </w:style>
  <w:style w:type="paragraph" w:styleId="BodyTextFirstIndent2">
    <w:name w:val="Body Text First Indent 2"/>
    <w:basedOn w:val="BodyTextIndent"/>
    <w:link w:val="BodyTextFirstIndent2Char"/>
    <w:semiHidden/>
    <w:unhideWhenUsed/>
    <w:pPr>
      <w:spacing w:after="0"/>
      <w:ind w:firstLine="360"/>
    </w:pPr>
  </w:style>
  <w:style w:type="character" w:customStyle="1" w:styleId="BodyTextFirstIndent2Char">
    <w:name w:val="Body Text First Indent 2 Char"/>
    <w:basedOn w:val="BodyTextIndentChar"/>
    <w:link w:val="BodyTextFirstIndent2"/>
    <w:semiHidden/>
    <w:rPr>
      <w:sz w:val="24"/>
      <w:szCs w:val="24"/>
    </w:rPr>
  </w:style>
  <w:style w:type="paragraph" w:styleId="BodyTextIndent2">
    <w:name w:val="Body Text Indent 2"/>
    <w:basedOn w:val="Normal"/>
    <w:link w:val="BodyTextIndent2Char"/>
    <w:semiHidden/>
    <w:unhideWhenUsed/>
    <w:pPr>
      <w:spacing w:after="120" w:line="480" w:lineRule="auto"/>
      <w:ind w:left="360"/>
    </w:pPr>
  </w:style>
  <w:style w:type="character" w:customStyle="1" w:styleId="BodyTextIndent2Char">
    <w:name w:val="Body Text Indent 2 Char"/>
    <w:basedOn w:val="DefaultParagraphFont"/>
    <w:link w:val="BodyTextIndent2"/>
    <w:semiHidden/>
    <w:rPr>
      <w:sz w:val="24"/>
      <w:szCs w:val="24"/>
    </w:rPr>
  </w:style>
  <w:style w:type="paragraph" w:styleId="Closing">
    <w:name w:val="Closing"/>
    <w:basedOn w:val="Normal"/>
    <w:link w:val="ClosingChar"/>
    <w:semiHidden/>
    <w:unhideWhenUsed/>
    <w:pPr>
      <w:ind w:left="4320"/>
    </w:pPr>
  </w:style>
  <w:style w:type="character" w:customStyle="1" w:styleId="ClosingChar">
    <w:name w:val="Closing Char"/>
    <w:basedOn w:val="DefaultParagraphFont"/>
    <w:link w:val="Closing"/>
    <w:semiHidden/>
    <w:rPr>
      <w:sz w:val="24"/>
      <w:szCs w:val="24"/>
    </w:rPr>
  </w:style>
  <w:style w:type="paragraph" w:styleId="Date">
    <w:name w:val="Date"/>
    <w:basedOn w:val="Normal"/>
    <w:next w:val="Normal"/>
    <w:link w:val="DateChar"/>
  </w:style>
  <w:style w:type="character" w:customStyle="1" w:styleId="DateChar">
    <w:name w:val="Date Char"/>
    <w:basedOn w:val="DefaultParagraphFont"/>
    <w:link w:val="Date"/>
    <w:rPr>
      <w:sz w:val="24"/>
      <w:szCs w:val="24"/>
    </w:rPr>
  </w:style>
  <w:style w:type="paragraph" w:styleId="DocumentMap">
    <w:name w:val="Document Map"/>
    <w:basedOn w:val="Normal"/>
    <w:link w:val="DocumentMapChar"/>
    <w:semiHidden/>
    <w:unhideWhenUsed/>
    <w:rPr>
      <w:rFonts w:ascii="Tahoma" w:hAnsi="Tahoma" w:cs="Tahoma"/>
      <w:sz w:val="16"/>
      <w:szCs w:val="16"/>
    </w:rPr>
  </w:style>
  <w:style w:type="character" w:customStyle="1" w:styleId="DocumentMapChar">
    <w:name w:val="Document Map Char"/>
    <w:basedOn w:val="DefaultParagraphFont"/>
    <w:link w:val="DocumentMap"/>
    <w:semiHidden/>
    <w:rPr>
      <w:rFonts w:ascii="Tahoma" w:hAnsi="Tahoma" w:cs="Tahoma"/>
      <w:sz w:val="16"/>
      <w:szCs w:val="16"/>
    </w:rPr>
  </w:style>
  <w:style w:type="paragraph" w:styleId="E-mailSignature">
    <w:name w:val="E-mail Signature"/>
    <w:basedOn w:val="Normal"/>
    <w:link w:val="E-mailSignatureChar"/>
    <w:semiHidden/>
    <w:unhideWhenUsed/>
  </w:style>
  <w:style w:type="character" w:customStyle="1" w:styleId="E-mailSignatureChar">
    <w:name w:val="E-mail Signature Char"/>
    <w:basedOn w:val="DefaultParagraphFont"/>
    <w:link w:val="E-mailSignature"/>
    <w:semiHidden/>
    <w:rPr>
      <w:sz w:val="24"/>
      <w:szCs w:val="24"/>
    </w:rPr>
  </w:style>
  <w:style w:type="paragraph" w:styleId="EndnoteText">
    <w:name w:val="endnote text"/>
    <w:basedOn w:val="Normal"/>
    <w:link w:val="EndnoteTextChar"/>
    <w:semiHidden/>
    <w:unhideWhenUsed/>
    <w:rPr>
      <w:sz w:val="20"/>
      <w:szCs w:val="20"/>
    </w:rPr>
  </w:style>
  <w:style w:type="character" w:customStyle="1" w:styleId="EndnoteTextChar">
    <w:name w:val="Endnote Text Char"/>
    <w:basedOn w:val="DefaultParagraphFont"/>
    <w:link w:val="EndnoteText"/>
    <w:semiHidden/>
  </w:style>
  <w:style w:type="paragraph" w:styleId="EnvelopeAddress">
    <w:name w:val="envelope address"/>
    <w:basedOn w:val="Normal"/>
    <w:semiHidden/>
    <w:unhideWhenUsed/>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semiHidden/>
    <w:unhideWhenUsed/>
    <w:rPr>
      <w:rFonts w:asciiTheme="majorHAnsi" w:eastAsiaTheme="majorEastAsia" w:hAnsiTheme="majorHAnsi" w:cstheme="majorBidi"/>
      <w:sz w:val="20"/>
      <w:szCs w:val="20"/>
    </w:rPr>
  </w:style>
  <w:style w:type="character" w:customStyle="1" w:styleId="Heading5Char">
    <w:name w:val="Heading 5 Char"/>
    <w:basedOn w:val="DefaultParagraphFont"/>
    <w:link w:val="Heading5"/>
    <w:semiHidden/>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semiHidden/>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semiHidden/>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semiHidden/>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semiHidden/>
    <w:rPr>
      <w:rFonts w:asciiTheme="majorHAnsi" w:eastAsiaTheme="majorEastAsia" w:hAnsiTheme="majorHAnsi" w:cstheme="majorBidi"/>
      <w:i/>
      <w:iCs/>
      <w:color w:val="404040" w:themeColor="text1" w:themeTint="BF"/>
    </w:rPr>
  </w:style>
  <w:style w:type="paragraph" w:styleId="HTMLAddress">
    <w:name w:val="HTML Address"/>
    <w:basedOn w:val="Normal"/>
    <w:link w:val="HTMLAddressChar"/>
    <w:semiHidden/>
    <w:unhideWhenUsed/>
    <w:rPr>
      <w:i/>
      <w:iCs/>
    </w:rPr>
  </w:style>
  <w:style w:type="character" w:customStyle="1" w:styleId="HTMLAddressChar">
    <w:name w:val="HTML Address Char"/>
    <w:basedOn w:val="DefaultParagraphFont"/>
    <w:link w:val="HTMLAddress"/>
    <w:semiHidden/>
    <w:rPr>
      <w:i/>
      <w:iCs/>
      <w:sz w:val="24"/>
      <w:szCs w:val="24"/>
    </w:rPr>
  </w:style>
  <w:style w:type="paragraph" w:styleId="HTMLPreformatted">
    <w:name w:val="HTML Preformatted"/>
    <w:basedOn w:val="Normal"/>
    <w:link w:val="HTMLPreformattedChar"/>
    <w:semiHidden/>
    <w:unhideWhenUsed/>
    <w:rPr>
      <w:rFonts w:ascii="Consolas" w:hAnsi="Consolas"/>
      <w:sz w:val="20"/>
      <w:szCs w:val="20"/>
    </w:rPr>
  </w:style>
  <w:style w:type="character" w:customStyle="1" w:styleId="HTMLPreformattedChar">
    <w:name w:val="HTML Preformatted Char"/>
    <w:basedOn w:val="DefaultParagraphFont"/>
    <w:link w:val="HTMLPreformatted"/>
    <w:semiHidden/>
    <w:rPr>
      <w:rFonts w:ascii="Consolas" w:hAnsi="Consolas"/>
    </w:rPr>
  </w:style>
  <w:style w:type="paragraph" w:styleId="Index1">
    <w:name w:val="index 1"/>
    <w:basedOn w:val="Normal"/>
    <w:next w:val="Normal"/>
    <w:autoRedefine/>
    <w:semiHidden/>
    <w:unhideWhenUsed/>
    <w:pPr>
      <w:ind w:left="240" w:hanging="240"/>
    </w:pPr>
  </w:style>
  <w:style w:type="paragraph" w:styleId="Index2">
    <w:name w:val="index 2"/>
    <w:basedOn w:val="Normal"/>
    <w:next w:val="Normal"/>
    <w:autoRedefine/>
    <w:semiHidden/>
    <w:unhideWhenUsed/>
    <w:pPr>
      <w:ind w:left="480" w:hanging="240"/>
    </w:pPr>
  </w:style>
  <w:style w:type="paragraph" w:styleId="Index3">
    <w:name w:val="index 3"/>
    <w:basedOn w:val="Normal"/>
    <w:next w:val="Normal"/>
    <w:autoRedefine/>
    <w:semiHidden/>
    <w:unhideWhenUsed/>
    <w:pPr>
      <w:ind w:left="720" w:hanging="240"/>
    </w:pPr>
  </w:style>
  <w:style w:type="paragraph" w:styleId="Index4">
    <w:name w:val="index 4"/>
    <w:basedOn w:val="Normal"/>
    <w:next w:val="Normal"/>
    <w:autoRedefine/>
    <w:semiHidden/>
    <w:unhideWhenUsed/>
    <w:pPr>
      <w:ind w:left="960" w:hanging="240"/>
    </w:pPr>
  </w:style>
  <w:style w:type="paragraph" w:styleId="Index5">
    <w:name w:val="index 5"/>
    <w:basedOn w:val="Normal"/>
    <w:next w:val="Normal"/>
    <w:autoRedefine/>
    <w:semiHidden/>
    <w:unhideWhenUsed/>
    <w:pPr>
      <w:ind w:left="1200" w:hanging="240"/>
    </w:pPr>
  </w:style>
  <w:style w:type="paragraph" w:styleId="Index6">
    <w:name w:val="index 6"/>
    <w:basedOn w:val="Normal"/>
    <w:next w:val="Normal"/>
    <w:autoRedefine/>
    <w:semiHidden/>
    <w:unhideWhenUsed/>
    <w:pPr>
      <w:ind w:left="1440" w:hanging="240"/>
    </w:pPr>
  </w:style>
  <w:style w:type="paragraph" w:styleId="Index7">
    <w:name w:val="index 7"/>
    <w:basedOn w:val="Normal"/>
    <w:next w:val="Normal"/>
    <w:autoRedefine/>
    <w:semiHidden/>
    <w:unhideWhenUsed/>
    <w:pPr>
      <w:ind w:left="1680" w:hanging="240"/>
    </w:pPr>
  </w:style>
  <w:style w:type="paragraph" w:styleId="Index8">
    <w:name w:val="index 8"/>
    <w:basedOn w:val="Normal"/>
    <w:next w:val="Normal"/>
    <w:autoRedefine/>
    <w:semiHidden/>
    <w:unhideWhenUsed/>
    <w:pPr>
      <w:ind w:left="1920" w:hanging="240"/>
    </w:pPr>
  </w:style>
  <w:style w:type="paragraph" w:styleId="Index9">
    <w:name w:val="index 9"/>
    <w:basedOn w:val="Normal"/>
    <w:next w:val="Normal"/>
    <w:autoRedefine/>
    <w:semiHidden/>
    <w:unhideWhenUsed/>
    <w:pPr>
      <w:ind w:left="2160" w:hanging="240"/>
    </w:pPr>
  </w:style>
  <w:style w:type="paragraph" w:styleId="IndexHeading">
    <w:name w:val="index heading"/>
    <w:basedOn w:val="Normal"/>
    <w:next w:val="Index1"/>
    <w:semiHidden/>
    <w:unhideWhenUsed/>
    <w:rPr>
      <w:rFonts w:asciiTheme="majorHAnsi" w:eastAsiaTheme="majorEastAsia" w:hAnsiTheme="majorHAnsi" w:cstheme="majorBidi"/>
      <w:b/>
      <w:bCs/>
    </w:rPr>
  </w:style>
  <w:style w:type="paragraph" w:styleId="IntenseQuote">
    <w:name w:val="Intense Quote"/>
    <w:basedOn w:val="Normal"/>
    <w:next w:val="Normal"/>
    <w:link w:val="IntenseQuoteChar"/>
    <w:uiPriority w:val="30"/>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Pr>
      <w:b/>
      <w:bCs/>
      <w:i/>
      <w:iCs/>
      <w:color w:val="4F81BD" w:themeColor="accent1"/>
      <w:sz w:val="24"/>
      <w:szCs w:val="24"/>
    </w:rPr>
  </w:style>
  <w:style w:type="paragraph" w:styleId="List">
    <w:name w:val="List"/>
    <w:basedOn w:val="Normal"/>
    <w:semiHidden/>
    <w:unhideWhenUsed/>
    <w:pPr>
      <w:ind w:left="360" w:hanging="360"/>
      <w:contextualSpacing/>
    </w:pPr>
  </w:style>
  <w:style w:type="paragraph" w:styleId="List2">
    <w:name w:val="List 2"/>
    <w:basedOn w:val="Normal"/>
    <w:semiHidden/>
    <w:unhideWhenUsed/>
    <w:pPr>
      <w:ind w:left="720" w:hanging="360"/>
      <w:contextualSpacing/>
    </w:pPr>
  </w:style>
  <w:style w:type="paragraph" w:styleId="List3">
    <w:name w:val="List 3"/>
    <w:basedOn w:val="Normal"/>
    <w:semiHidden/>
    <w:unhideWhenUsed/>
    <w:pPr>
      <w:ind w:left="1080" w:hanging="360"/>
      <w:contextualSpacing/>
    </w:pPr>
  </w:style>
  <w:style w:type="paragraph" w:styleId="List4">
    <w:name w:val="List 4"/>
    <w:basedOn w:val="Normal"/>
    <w:pPr>
      <w:ind w:left="1440" w:hanging="360"/>
      <w:contextualSpacing/>
    </w:pPr>
  </w:style>
  <w:style w:type="paragraph" w:styleId="List5">
    <w:name w:val="List 5"/>
    <w:basedOn w:val="Normal"/>
    <w:pPr>
      <w:ind w:left="1800" w:hanging="360"/>
      <w:contextualSpacing/>
    </w:pPr>
  </w:style>
  <w:style w:type="paragraph" w:styleId="ListBullet">
    <w:name w:val="List Bullet"/>
    <w:basedOn w:val="Normal"/>
    <w:semiHidden/>
    <w:unhideWhenUsed/>
    <w:pPr>
      <w:numPr>
        <w:numId w:val="6"/>
      </w:numPr>
      <w:contextualSpacing/>
    </w:pPr>
  </w:style>
  <w:style w:type="paragraph" w:styleId="ListBullet2">
    <w:name w:val="List Bullet 2"/>
    <w:basedOn w:val="Normal"/>
    <w:semiHidden/>
    <w:unhideWhenUsed/>
    <w:pPr>
      <w:numPr>
        <w:numId w:val="7"/>
      </w:numPr>
      <w:contextualSpacing/>
    </w:pPr>
  </w:style>
  <w:style w:type="paragraph" w:styleId="ListBullet3">
    <w:name w:val="List Bullet 3"/>
    <w:basedOn w:val="Normal"/>
    <w:semiHidden/>
    <w:unhideWhenUsed/>
    <w:pPr>
      <w:numPr>
        <w:numId w:val="8"/>
      </w:numPr>
      <w:contextualSpacing/>
    </w:pPr>
  </w:style>
  <w:style w:type="paragraph" w:styleId="ListBullet4">
    <w:name w:val="List Bullet 4"/>
    <w:basedOn w:val="Normal"/>
    <w:semiHidden/>
    <w:unhideWhenUsed/>
    <w:pPr>
      <w:numPr>
        <w:numId w:val="9"/>
      </w:numPr>
      <w:contextualSpacing/>
    </w:pPr>
  </w:style>
  <w:style w:type="paragraph" w:styleId="ListBullet5">
    <w:name w:val="List Bullet 5"/>
    <w:basedOn w:val="Normal"/>
    <w:semiHidden/>
    <w:unhideWhenUsed/>
    <w:pPr>
      <w:numPr>
        <w:numId w:val="10"/>
      </w:numPr>
      <w:contextualSpacing/>
    </w:pPr>
  </w:style>
  <w:style w:type="paragraph" w:styleId="ListContinue">
    <w:name w:val="List Continue"/>
    <w:basedOn w:val="Normal"/>
    <w:semiHidden/>
    <w:unhideWhenUsed/>
    <w:pPr>
      <w:spacing w:after="120"/>
      <w:ind w:left="360"/>
      <w:contextualSpacing/>
    </w:pPr>
  </w:style>
  <w:style w:type="paragraph" w:styleId="ListContinue2">
    <w:name w:val="List Continue 2"/>
    <w:basedOn w:val="Normal"/>
    <w:semiHidden/>
    <w:unhideWhenUsed/>
    <w:pPr>
      <w:spacing w:after="120"/>
      <w:ind w:left="720"/>
      <w:contextualSpacing/>
    </w:pPr>
  </w:style>
  <w:style w:type="paragraph" w:styleId="ListContinue3">
    <w:name w:val="List Continue 3"/>
    <w:basedOn w:val="Normal"/>
    <w:semiHidden/>
    <w:unhideWhenUsed/>
    <w:pPr>
      <w:spacing w:after="120"/>
      <w:ind w:left="1080"/>
      <w:contextualSpacing/>
    </w:pPr>
  </w:style>
  <w:style w:type="paragraph" w:styleId="ListContinue4">
    <w:name w:val="List Continue 4"/>
    <w:basedOn w:val="Normal"/>
    <w:semiHidden/>
    <w:unhideWhenUsed/>
    <w:pPr>
      <w:spacing w:after="120"/>
      <w:ind w:left="1440"/>
      <w:contextualSpacing/>
    </w:pPr>
  </w:style>
  <w:style w:type="paragraph" w:styleId="ListContinue5">
    <w:name w:val="List Continue 5"/>
    <w:basedOn w:val="Normal"/>
    <w:semiHidden/>
    <w:unhideWhenUsed/>
    <w:pPr>
      <w:spacing w:after="120"/>
      <w:ind w:left="1800"/>
      <w:contextualSpacing/>
    </w:pPr>
  </w:style>
  <w:style w:type="paragraph" w:styleId="ListNumber">
    <w:name w:val="List Number"/>
    <w:basedOn w:val="Normal"/>
    <w:pPr>
      <w:numPr>
        <w:numId w:val="11"/>
      </w:numPr>
      <w:contextualSpacing/>
    </w:pPr>
  </w:style>
  <w:style w:type="paragraph" w:styleId="ListNumber2">
    <w:name w:val="List Number 2"/>
    <w:basedOn w:val="Normal"/>
    <w:semiHidden/>
    <w:unhideWhenUsed/>
    <w:pPr>
      <w:numPr>
        <w:numId w:val="12"/>
      </w:numPr>
      <w:contextualSpacing/>
    </w:pPr>
  </w:style>
  <w:style w:type="paragraph" w:styleId="ListNumber3">
    <w:name w:val="List Number 3"/>
    <w:basedOn w:val="Normal"/>
    <w:semiHidden/>
    <w:unhideWhenUsed/>
    <w:pPr>
      <w:numPr>
        <w:numId w:val="13"/>
      </w:numPr>
      <w:contextualSpacing/>
    </w:pPr>
  </w:style>
  <w:style w:type="paragraph" w:styleId="ListNumber4">
    <w:name w:val="List Number 4"/>
    <w:basedOn w:val="Normal"/>
    <w:semiHidden/>
    <w:unhideWhenUsed/>
    <w:pPr>
      <w:numPr>
        <w:numId w:val="14"/>
      </w:numPr>
      <w:contextualSpacing/>
    </w:pPr>
  </w:style>
  <w:style w:type="paragraph" w:styleId="ListNumber5">
    <w:name w:val="List Number 5"/>
    <w:basedOn w:val="Normal"/>
    <w:semiHidden/>
    <w:unhideWhenUsed/>
    <w:pPr>
      <w:numPr>
        <w:numId w:val="15"/>
      </w:numPr>
      <w:contextualSpacing/>
    </w:pPr>
  </w:style>
  <w:style w:type="paragraph" w:styleId="MacroText">
    <w:name w:val="macro"/>
    <w:link w:val="MacroTextChar"/>
    <w:semiHidden/>
    <w:unhideWhenUsed/>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semiHidden/>
    <w:rPr>
      <w:rFonts w:ascii="Consolas" w:hAnsi="Consolas"/>
    </w:rPr>
  </w:style>
  <w:style w:type="paragraph" w:styleId="MessageHeader">
    <w:name w:val="Message Header"/>
    <w:basedOn w:val="Normal"/>
    <w:link w:val="MessageHeaderChar"/>
    <w:semiHidden/>
    <w:unhideWhenUsed/>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semiHidden/>
    <w:rPr>
      <w:rFonts w:asciiTheme="majorHAnsi" w:eastAsiaTheme="majorEastAsia" w:hAnsiTheme="majorHAnsi" w:cstheme="majorBidi"/>
      <w:sz w:val="24"/>
      <w:szCs w:val="24"/>
      <w:shd w:val="pct20" w:color="auto" w:fill="auto"/>
    </w:rPr>
  </w:style>
  <w:style w:type="paragraph" w:styleId="NoSpacing">
    <w:name w:val="No Spacing"/>
    <w:uiPriority w:val="1"/>
    <w:rPr>
      <w:sz w:val="24"/>
      <w:szCs w:val="24"/>
    </w:rPr>
  </w:style>
  <w:style w:type="paragraph" w:styleId="NormalWeb">
    <w:name w:val="Normal (Web)"/>
    <w:basedOn w:val="Normal"/>
    <w:semiHidden/>
    <w:unhideWhenUsed/>
  </w:style>
  <w:style w:type="paragraph" w:styleId="NormalIndent">
    <w:name w:val="Normal Indent"/>
    <w:basedOn w:val="Normal"/>
    <w:semiHidden/>
    <w:unhideWhenUsed/>
    <w:pPr>
      <w:ind w:left="720"/>
    </w:pPr>
  </w:style>
  <w:style w:type="paragraph" w:styleId="NoteHeading">
    <w:name w:val="Note Heading"/>
    <w:basedOn w:val="Normal"/>
    <w:next w:val="Normal"/>
    <w:link w:val="NoteHeadingChar"/>
    <w:semiHidden/>
    <w:unhideWhenUsed/>
  </w:style>
  <w:style w:type="character" w:customStyle="1" w:styleId="NoteHeadingChar">
    <w:name w:val="Note Heading Char"/>
    <w:basedOn w:val="DefaultParagraphFont"/>
    <w:link w:val="NoteHeading"/>
    <w:semiHidden/>
    <w:rPr>
      <w:sz w:val="24"/>
      <w:szCs w:val="24"/>
    </w:rPr>
  </w:style>
  <w:style w:type="paragraph" w:styleId="PlainText">
    <w:name w:val="Plain Text"/>
    <w:basedOn w:val="Normal"/>
    <w:link w:val="PlainTextChar"/>
    <w:semiHidden/>
    <w:unhideWhenUsed/>
    <w:rPr>
      <w:rFonts w:ascii="Consolas" w:hAnsi="Consolas"/>
      <w:sz w:val="21"/>
      <w:szCs w:val="21"/>
    </w:rPr>
  </w:style>
  <w:style w:type="character" w:customStyle="1" w:styleId="PlainTextChar">
    <w:name w:val="Plain Text Char"/>
    <w:basedOn w:val="DefaultParagraphFont"/>
    <w:link w:val="PlainText"/>
    <w:semiHidden/>
    <w:rPr>
      <w:rFonts w:ascii="Consolas" w:hAnsi="Consolas"/>
      <w:sz w:val="21"/>
      <w:szCs w:val="21"/>
    </w:rPr>
  </w:style>
  <w:style w:type="paragraph" w:styleId="Quote">
    <w:name w:val="Quote"/>
    <w:basedOn w:val="Normal"/>
    <w:next w:val="Normal"/>
    <w:link w:val="QuoteChar"/>
    <w:uiPriority w:val="29"/>
    <w:qFormat/>
    <w:rPr>
      <w:i/>
      <w:iCs/>
      <w:color w:val="000000" w:themeColor="text1"/>
    </w:rPr>
  </w:style>
  <w:style w:type="character" w:customStyle="1" w:styleId="QuoteChar">
    <w:name w:val="Quote Char"/>
    <w:basedOn w:val="DefaultParagraphFont"/>
    <w:link w:val="Quote"/>
    <w:uiPriority w:val="29"/>
    <w:rPr>
      <w:i/>
      <w:iCs/>
      <w:color w:val="000000" w:themeColor="text1"/>
      <w:sz w:val="24"/>
      <w:szCs w:val="24"/>
    </w:rPr>
  </w:style>
  <w:style w:type="paragraph" w:styleId="Salutation">
    <w:name w:val="Salutation"/>
    <w:basedOn w:val="Normal"/>
    <w:next w:val="Normal"/>
    <w:link w:val="SalutationChar"/>
  </w:style>
  <w:style w:type="character" w:customStyle="1" w:styleId="SalutationChar">
    <w:name w:val="Salutation Char"/>
    <w:basedOn w:val="DefaultParagraphFont"/>
    <w:link w:val="Salutation"/>
    <w:rPr>
      <w:sz w:val="24"/>
      <w:szCs w:val="24"/>
    </w:rPr>
  </w:style>
  <w:style w:type="paragraph" w:styleId="Signature">
    <w:name w:val="Signature"/>
    <w:basedOn w:val="Normal"/>
    <w:link w:val="SignatureChar"/>
    <w:semiHidden/>
    <w:unhideWhenUsed/>
    <w:pPr>
      <w:ind w:left="4320"/>
    </w:pPr>
  </w:style>
  <w:style w:type="character" w:customStyle="1" w:styleId="SignatureChar">
    <w:name w:val="Signature Char"/>
    <w:basedOn w:val="DefaultParagraphFont"/>
    <w:link w:val="Signature"/>
    <w:semiHidden/>
    <w:rPr>
      <w:sz w:val="24"/>
      <w:szCs w:val="24"/>
    </w:rPr>
  </w:style>
  <w:style w:type="paragraph" w:styleId="Subtitle">
    <w:name w:val="Subtitle"/>
    <w:basedOn w:val="Normal"/>
    <w:next w:val="Normal"/>
    <w:link w:val="SubtitleChar"/>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Pr>
      <w:rFonts w:asciiTheme="majorHAnsi" w:eastAsiaTheme="majorEastAsia" w:hAnsiTheme="majorHAnsi" w:cstheme="majorBidi"/>
      <w:i/>
      <w:iCs/>
      <w:color w:val="4F81BD" w:themeColor="accent1"/>
      <w:spacing w:val="15"/>
      <w:sz w:val="24"/>
      <w:szCs w:val="24"/>
    </w:rPr>
  </w:style>
  <w:style w:type="paragraph" w:customStyle="1" w:styleId="ETIAnswer">
    <w:name w:val="ETI Answer"/>
    <w:basedOn w:val="ListParagraph"/>
    <w:link w:val="ETIAnswerChar"/>
    <w:pPr>
      <w:numPr>
        <w:numId w:val="16"/>
      </w:numPr>
      <w:spacing w:line="480" w:lineRule="auto"/>
      <w:jc w:val="both"/>
    </w:pPr>
  </w:style>
  <w:style w:type="character" w:customStyle="1" w:styleId="ETIAnswerChar">
    <w:name w:val="ETI Answer Char"/>
    <w:basedOn w:val="DefaultParagraphFont"/>
    <w:link w:val="ETIAnswer"/>
    <w:rPr>
      <w:sz w:val="24"/>
      <w:szCs w:val="24"/>
    </w:rPr>
  </w:style>
  <w:style w:type="character" w:customStyle="1" w:styleId="ListParagraphChar">
    <w:name w:val="List Paragraph Char"/>
    <w:basedOn w:val="DefaultParagraphFont"/>
    <w:link w:val="ListParagraph"/>
    <w:uiPriority w:val="34"/>
    <w:rPr>
      <w:sz w:val="24"/>
      <w:szCs w:val="24"/>
    </w:rPr>
  </w:style>
  <w:style w:type="character" w:styleId="EndnoteReference">
    <w:name w:val="endnote reference"/>
    <w:basedOn w:val="DefaultParagraphFont"/>
    <w:semiHidden/>
    <w:unhideWhenUsed/>
    <w:rPr>
      <w:vertAlign w:val="superscript"/>
    </w:rPr>
  </w:style>
  <w:style w:type="character" w:styleId="Strong">
    <w:name w:val="Strong"/>
    <w:basedOn w:val="DefaultParagraphFont"/>
    <w:rPr>
      <w:b/>
      <w:bCs/>
    </w:rPr>
  </w:style>
  <w:style w:type="paragraph" w:customStyle="1" w:styleId="Answer2">
    <w:name w:val="Answer 2"/>
    <w:basedOn w:val="Answer"/>
    <w:next w:val="Answer"/>
    <w:qFormat/>
    <w:pPr>
      <w:ind w:firstLine="720"/>
    </w:pPr>
  </w:style>
  <w:style w:type="character" w:customStyle="1" w:styleId="UnresolvedMention1">
    <w:name w:val="Unresolved Mention1"/>
    <w:basedOn w:val="DefaultParagraphFont"/>
    <w:uiPriority w:val="99"/>
    <w:unhideWhenUsed/>
    <w:rPr>
      <w:color w:val="605E5C"/>
      <w:shd w:val="clear" w:color="auto" w:fill="E1DFDD"/>
    </w:rPr>
  </w:style>
  <w:style w:type="character" w:customStyle="1" w:styleId="Mention1">
    <w:name w:val="Mention1"/>
    <w:basedOn w:val="DefaultParagraphFont"/>
    <w:uiPriority w:val="99"/>
    <w:unhideWhenUsed/>
    <w:rPr>
      <w:color w:val="2B579A"/>
      <w:shd w:val="clear" w:color="auto" w:fill="E1DFDD"/>
    </w:rPr>
  </w:style>
  <w:style w:type="character" w:customStyle="1" w:styleId="UnresolvedMention2">
    <w:name w:val="Unresolved Mention2"/>
    <w:basedOn w:val="DefaultParagraphFont"/>
    <w:uiPriority w:val="99"/>
    <w:unhideWhenUsed/>
    <w:rPr>
      <w:color w:val="605E5C"/>
      <w:shd w:val="clear" w:color="auto" w:fill="E1DFDD"/>
    </w:rPr>
  </w:style>
  <w:style w:type="character" w:customStyle="1" w:styleId="Mention2">
    <w:name w:val="Mention2"/>
    <w:basedOn w:val="DefaultParagraphFont"/>
    <w:uiPriority w:val="99"/>
    <w:unhideWhenUsed/>
    <w:rPr>
      <w:color w:val="2B579A"/>
      <w:shd w:val="clear" w:color="auto" w:fill="E1DFDD"/>
    </w:rPr>
  </w:style>
  <w:style w:type="character" w:customStyle="1" w:styleId="normaltextrun">
    <w:name w:val="normaltextrun"/>
    <w:basedOn w:val="DefaultParagraphFont"/>
  </w:style>
  <w:style w:type="character" w:customStyle="1" w:styleId="eop">
    <w:name w:val="eop"/>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2721295">
      <w:bodyDiv w:val="1"/>
      <w:marLeft w:val="0"/>
      <w:marRight w:val="0"/>
      <w:marTop w:val="0"/>
      <w:marBottom w:val="0"/>
      <w:divBdr>
        <w:top w:val="none" w:sz="0" w:space="0" w:color="auto"/>
        <w:left w:val="none" w:sz="0" w:space="0" w:color="auto"/>
        <w:bottom w:val="none" w:sz="0" w:space="0" w:color="auto"/>
        <w:right w:val="none" w:sz="0" w:space="0" w:color="auto"/>
      </w:divBdr>
    </w:div>
    <w:div w:id="1184367910">
      <w:bodyDiv w:val="1"/>
      <w:marLeft w:val="0"/>
      <w:marRight w:val="0"/>
      <w:marTop w:val="0"/>
      <w:marBottom w:val="0"/>
      <w:divBdr>
        <w:top w:val="none" w:sz="0" w:space="0" w:color="auto"/>
        <w:left w:val="none" w:sz="0" w:space="0" w:color="auto"/>
        <w:bottom w:val="none" w:sz="0" w:space="0" w:color="auto"/>
        <w:right w:val="none" w:sz="0" w:space="0" w:color="auto"/>
      </w:divBdr>
    </w:div>
    <w:div w:id="1413311238">
      <w:bodyDiv w:val="1"/>
      <w:marLeft w:val="0"/>
      <w:marRight w:val="0"/>
      <w:marTop w:val="0"/>
      <w:marBottom w:val="0"/>
      <w:divBdr>
        <w:top w:val="none" w:sz="0" w:space="0" w:color="auto"/>
        <w:left w:val="none" w:sz="0" w:space="0" w:color="auto"/>
        <w:bottom w:val="none" w:sz="0" w:space="0" w:color="auto"/>
        <w:right w:val="none" w:sz="0" w:space="0" w:color="auto"/>
      </w:divBdr>
    </w:div>
    <w:div w:id="1425146265">
      <w:bodyDiv w:val="1"/>
      <w:marLeft w:val="0"/>
      <w:marRight w:val="0"/>
      <w:marTop w:val="0"/>
      <w:marBottom w:val="0"/>
      <w:divBdr>
        <w:top w:val="none" w:sz="0" w:space="0" w:color="auto"/>
        <w:left w:val="none" w:sz="0" w:space="0" w:color="auto"/>
        <w:bottom w:val="none" w:sz="0" w:space="0" w:color="auto"/>
        <w:right w:val="none" w:sz="0" w:space="0" w:color="auto"/>
      </w:divBdr>
    </w:div>
    <w:div w:id="2096828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cid:image009.jpg@01D77E18.13CDFAA0"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1.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6.xml"/><Relationship Id="rId10" Type="http://schemas.openxmlformats.org/officeDocument/2006/relationships/footer" Target="footer1.xml"/><Relationship Id="rId19" Type="http://schemas.openxmlformats.org/officeDocument/2006/relationships/image" Target="cid:image007.jpg@01D77E18.13CDFAA0"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CA7348-0DF3-4D38-A8D5-C32615CF6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5844</Words>
  <Characters>32401</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2021-09-13T21:28:00Z</dcterms:created>
  <dcterms:modified xsi:type="dcterms:W3CDTF">2021-09-15T16:11:00Z</dcterms:modified>
</cp:coreProperties>
</file>